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89"/>
        <w:tblW w:w="10460" w:type="dxa"/>
        <w:tblBorders>
          <w:top w:val="single" w:sz="24" w:space="0" w:color="A6A6A6"/>
          <w:left w:val="single" w:sz="24" w:space="0" w:color="A6A6A6"/>
          <w:bottom w:val="single" w:sz="24" w:space="0" w:color="A6A6A6"/>
          <w:right w:val="single" w:sz="24" w:space="0" w:color="A6A6A6"/>
        </w:tblBorders>
        <w:shd w:val="clear" w:color="auto" w:fill="FFFFFF"/>
        <w:tblLook w:val="01E0" w:firstRow="1" w:lastRow="1" w:firstColumn="1" w:lastColumn="1" w:noHBand="0" w:noVBand="0"/>
      </w:tblPr>
      <w:tblGrid>
        <w:gridCol w:w="10460"/>
      </w:tblGrid>
      <w:tr w:rsidR="005D5960" w:rsidRPr="00F60AC8" w14:paraId="4DF221C3" w14:textId="77777777" w:rsidTr="00971F23">
        <w:tc>
          <w:tcPr>
            <w:tcW w:w="10460" w:type="dxa"/>
            <w:shd w:val="clear" w:color="auto" w:fill="FFFFFF"/>
          </w:tcPr>
          <w:p w14:paraId="1449F5BA" w14:textId="77777777" w:rsidR="005D5960" w:rsidRPr="00F60AC8" w:rsidRDefault="005D5960" w:rsidP="00971F23">
            <w:pPr>
              <w:spacing w:before="240" w:after="240"/>
              <w:ind w:right="768"/>
              <w:jc w:val="center"/>
              <w:rPr>
                <w:rFonts w:eastAsia="Calibri" w:cs="Arial"/>
                <w:b/>
                <w:color w:val="58595B"/>
                <w:sz w:val="44"/>
                <w:szCs w:val="44"/>
              </w:rPr>
            </w:pPr>
            <w:r w:rsidRPr="00F60AC8">
              <w:rPr>
                <w:rFonts w:eastAsia="Calibri" w:cs="Arial"/>
                <w:b/>
                <w:noProof/>
                <w:color w:val="58595B"/>
                <w:sz w:val="44"/>
                <w:szCs w:val="44"/>
                <w:lang w:eastAsia="en-GB"/>
              </w:rPr>
              <w:drawing>
                <wp:anchor distT="0" distB="0" distL="114300" distR="114300" simplePos="0" relativeHeight="251659264" behindDoc="0" locked="0" layoutInCell="1" allowOverlap="1" wp14:anchorId="5D062721" wp14:editId="50180F67">
                  <wp:simplePos x="0" y="0"/>
                  <wp:positionH relativeFrom="column">
                    <wp:posOffset>2492072</wp:posOffset>
                  </wp:positionH>
                  <wp:positionV relativeFrom="paragraph">
                    <wp:posOffset>354938</wp:posOffset>
                  </wp:positionV>
                  <wp:extent cx="1647825" cy="1647825"/>
                  <wp:effectExtent l="0" t="0" r="9525" b="9525"/>
                  <wp:wrapSquare wrapText="bothSides"/>
                  <wp:docPr id="2" name="Picture 2" descr="I:\New School Logo\NEW MILFORD LOGO 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w School Logo\NEW MILFORD LOGO small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anchor>
              </w:drawing>
            </w:r>
          </w:p>
          <w:p w14:paraId="7464A9EC" w14:textId="77777777" w:rsidR="005D5960" w:rsidRPr="00F60AC8" w:rsidRDefault="005D5960" w:rsidP="00971F23">
            <w:pPr>
              <w:spacing w:before="240" w:after="240"/>
              <w:ind w:right="768"/>
              <w:jc w:val="center"/>
              <w:rPr>
                <w:rFonts w:eastAsia="Calibri" w:cs="Arial"/>
                <w:b/>
                <w:color w:val="58595B"/>
                <w:sz w:val="44"/>
                <w:szCs w:val="44"/>
              </w:rPr>
            </w:pPr>
          </w:p>
          <w:p w14:paraId="54D7BC44" w14:textId="77777777" w:rsidR="005D5960" w:rsidRPr="00F60AC8" w:rsidRDefault="005D5960" w:rsidP="00971F23">
            <w:pPr>
              <w:jc w:val="center"/>
              <w:rPr>
                <w:rFonts w:eastAsia="Calibri" w:cs="Arial"/>
                <w:b/>
                <w:sz w:val="44"/>
                <w:szCs w:val="44"/>
              </w:rPr>
            </w:pPr>
          </w:p>
          <w:p w14:paraId="735E6E84" w14:textId="77777777" w:rsidR="005D5960" w:rsidRPr="00F60AC8" w:rsidRDefault="005D5960" w:rsidP="00971F23">
            <w:pPr>
              <w:jc w:val="center"/>
              <w:rPr>
                <w:rFonts w:eastAsia="Calibri" w:cs="Arial"/>
                <w:b/>
                <w:sz w:val="44"/>
                <w:szCs w:val="44"/>
              </w:rPr>
            </w:pPr>
          </w:p>
          <w:p w14:paraId="08C2BACA" w14:textId="77777777" w:rsidR="005D5960" w:rsidRPr="00F60AC8" w:rsidRDefault="005D5960" w:rsidP="00971F23">
            <w:pPr>
              <w:jc w:val="center"/>
              <w:rPr>
                <w:rFonts w:eastAsia="Calibri" w:cs="Arial"/>
                <w:b/>
                <w:sz w:val="44"/>
                <w:szCs w:val="44"/>
              </w:rPr>
            </w:pPr>
          </w:p>
          <w:p w14:paraId="31847C2C" w14:textId="77777777" w:rsidR="005D5960" w:rsidRPr="00F60AC8" w:rsidRDefault="005D5960" w:rsidP="00971F23">
            <w:pPr>
              <w:jc w:val="center"/>
              <w:rPr>
                <w:rFonts w:eastAsia="Calibri" w:cs="Arial"/>
                <w:b/>
                <w:sz w:val="44"/>
                <w:szCs w:val="44"/>
              </w:rPr>
            </w:pPr>
          </w:p>
          <w:p w14:paraId="429C84F1" w14:textId="77777777" w:rsidR="005D5960" w:rsidRPr="00F60AC8" w:rsidRDefault="005D5960" w:rsidP="00971F23">
            <w:pPr>
              <w:jc w:val="center"/>
              <w:rPr>
                <w:rFonts w:eastAsia="Calibri" w:cstheme="minorHAnsi"/>
                <w:b/>
                <w:sz w:val="44"/>
                <w:szCs w:val="44"/>
              </w:rPr>
            </w:pPr>
            <w:r w:rsidRPr="00F60AC8">
              <w:rPr>
                <w:rFonts w:eastAsia="Calibri" w:cstheme="minorHAnsi"/>
                <w:b/>
                <w:sz w:val="44"/>
                <w:szCs w:val="44"/>
              </w:rPr>
              <w:t>Milford School</w:t>
            </w:r>
          </w:p>
          <w:p w14:paraId="09A4ED0B" w14:textId="35C88FB1" w:rsidR="005D5960" w:rsidRPr="00F60AC8" w:rsidRDefault="005D5960" w:rsidP="00971F23">
            <w:pPr>
              <w:jc w:val="center"/>
              <w:rPr>
                <w:rFonts w:eastAsia="Calibri" w:cstheme="minorHAnsi"/>
                <w:b/>
                <w:sz w:val="44"/>
                <w:szCs w:val="44"/>
              </w:rPr>
            </w:pPr>
            <w:r>
              <w:rPr>
                <w:rFonts w:eastAsia="Calibri" w:cstheme="minorHAnsi"/>
                <w:b/>
                <w:sz w:val="44"/>
                <w:szCs w:val="44"/>
              </w:rPr>
              <w:t xml:space="preserve">SEND </w:t>
            </w:r>
            <w:r>
              <w:rPr>
                <w:rFonts w:eastAsia="Calibri" w:cstheme="minorHAnsi"/>
                <w:b/>
                <w:sz w:val="44"/>
                <w:szCs w:val="44"/>
              </w:rPr>
              <w:t>POLICY</w:t>
            </w:r>
            <w:r>
              <w:rPr>
                <w:rFonts w:eastAsia="Calibri" w:cstheme="minorHAnsi"/>
                <w:b/>
                <w:sz w:val="44"/>
                <w:szCs w:val="44"/>
              </w:rPr>
              <w:t xml:space="preserve"> </w:t>
            </w:r>
          </w:p>
          <w:p w14:paraId="17266A28" w14:textId="77777777" w:rsidR="005D5960" w:rsidRPr="00F60AC8" w:rsidRDefault="005D5960" w:rsidP="00971F23">
            <w:pPr>
              <w:rPr>
                <w:rFonts w:eastAsia="Calibri" w:cstheme="minorHAnsi"/>
                <w:b/>
                <w:sz w:val="44"/>
                <w:szCs w:val="44"/>
              </w:rPr>
            </w:pPr>
          </w:p>
          <w:p w14:paraId="37C34BFC" w14:textId="77777777" w:rsidR="005D5960" w:rsidRPr="00F60AC8" w:rsidRDefault="005D5960" w:rsidP="00971F23">
            <w:pPr>
              <w:jc w:val="center"/>
              <w:rPr>
                <w:rFonts w:eastAsia="Calibri" w:cstheme="minorHAnsi"/>
                <w:b/>
                <w:bCs/>
                <w:sz w:val="44"/>
                <w:szCs w:val="44"/>
              </w:rPr>
            </w:pPr>
            <w:r w:rsidRPr="00F60AC8">
              <w:rPr>
                <w:rFonts w:eastAsia="Calibri" w:cstheme="minorHAnsi"/>
                <w:b/>
                <w:sz w:val="44"/>
                <w:szCs w:val="44"/>
              </w:rPr>
              <w:t>202</w:t>
            </w:r>
            <w:r>
              <w:rPr>
                <w:rFonts w:eastAsia="Calibri" w:cstheme="minorHAnsi"/>
                <w:b/>
                <w:sz w:val="44"/>
                <w:szCs w:val="44"/>
              </w:rPr>
              <w:t>5</w:t>
            </w:r>
            <w:r w:rsidRPr="00F60AC8">
              <w:rPr>
                <w:rFonts w:eastAsia="Calibri" w:cstheme="minorHAnsi"/>
                <w:b/>
                <w:sz w:val="44"/>
                <w:szCs w:val="44"/>
              </w:rPr>
              <w:t>-202</w:t>
            </w:r>
            <w:r>
              <w:rPr>
                <w:rFonts w:eastAsia="Calibri" w:cstheme="minorHAnsi"/>
                <w:b/>
                <w:sz w:val="44"/>
                <w:szCs w:val="44"/>
              </w:rPr>
              <w:t>6</w:t>
            </w:r>
          </w:p>
          <w:p w14:paraId="5A46D903" w14:textId="77777777" w:rsidR="005D5960" w:rsidRPr="00F60AC8" w:rsidRDefault="005D5960" w:rsidP="00971F23">
            <w:pPr>
              <w:tabs>
                <w:tab w:val="left" w:pos="3972"/>
              </w:tabs>
              <w:spacing w:after="240"/>
              <w:ind w:left="459"/>
              <w:rPr>
                <w:rFonts w:eastAsia="Calibri" w:cstheme="minorHAnsi"/>
                <w:bCs/>
                <w:spacing w:val="-5"/>
                <w:szCs w:val="24"/>
              </w:rPr>
            </w:pPr>
          </w:p>
          <w:p w14:paraId="6B003974" w14:textId="77777777" w:rsidR="005D5960" w:rsidRPr="00F60AC8" w:rsidRDefault="005D5960" w:rsidP="00971F23">
            <w:pPr>
              <w:tabs>
                <w:tab w:val="left" w:pos="3972"/>
              </w:tabs>
              <w:spacing w:before="240" w:after="240"/>
              <w:ind w:left="459"/>
              <w:rPr>
                <w:rFonts w:eastAsia="Calibri" w:cstheme="minorHAnsi"/>
                <w:bCs/>
                <w:spacing w:val="-5"/>
                <w:szCs w:val="24"/>
              </w:rPr>
            </w:pPr>
          </w:p>
          <w:p w14:paraId="02A91087" w14:textId="7D5C2C97" w:rsidR="005D5960" w:rsidRPr="00F60AC8" w:rsidRDefault="005D5960" w:rsidP="00971F23">
            <w:pPr>
              <w:tabs>
                <w:tab w:val="left" w:pos="3972"/>
              </w:tabs>
              <w:spacing w:before="240" w:after="240"/>
              <w:ind w:left="459"/>
              <w:jc w:val="both"/>
              <w:rPr>
                <w:rFonts w:eastAsia="Calibri" w:cstheme="minorHAnsi"/>
                <w:bCs/>
                <w:spacing w:val="-5"/>
                <w:szCs w:val="24"/>
              </w:rPr>
            </w:pPr>
            <w:r>
              <w:rPr>
                <w:rFonts w:eastAsia="Calibri" w:cstheme="minorHAnsi"/>
                <w:bCs/>
                <w:spacing w:val="-5"/>
                <w:szCs w:val="24"/>
              </w:rPr>
              <w:t>Reviewed: May 2026</w:t>
            </w:r>
            <w:r w:rsidRPr="00F60AC8">
              <w:rPr>
                <w:rFonts w:eastAsia="Calibri" w:cstheme="minorHAnsi"/>
                <w:bCs/>
                <w:spacing w:val="-5"/>
                <w:szCs w:val="24"/>
              </w:rPr>
              <w:t xml:space="preserve">            Policy Type: Statutory                   Review cycle: </w:t>
            </w:r>
            <w:r>
              <w:rPr>
                <w:rFonts w:eastAsia="Calibri" w:cstheme="minorHAnsi"/>
                <w:bCs/>
                <w:spacing w:val="-5"/>
                <w:szCs w:val="24"/>
              </w:rPr>
              <w:t>2 years</w:t>
            </w:r>
          </w:p>
          <w:p w14:paraId="2AEBC869" w14:textId="77777777" w:rsidR="005D5960" w:rsidRDefault="005D5960" w:rsidP="00971F23">
            <w:pPr>
              <w:tabs>
                <w:tab w:val="left" w:pos="3972"/>
              </w:tabs>
              <w:spacing w:before="240" w:after="240"/>
              <w:ind w:left="459"/>
              <w:jc w:val="both"/>
              <w:rPr>
                <w:rFonts w:eastAsia="Calibri" w:cstheme="minorHAnsi"/>
                <w:bCs/>
                <w:spacing w:val="-5"/>
                <w:szCs w:val="24"/>
              </w:rPr>
            </w:pPr>
            <w:r>
              <w:rPr>
                <w:rFonts w:eastAsia="Calibri" w:cstheme="minorHAnsi"/>
                <w:bCs/>
                <w:spacing w:val="-5"/>
                <w:szCs w:val="24"/>
              </w:rPr>
              <w:t>Ratified by: Children and Standards Committee</w:t>
            </w:r>
          </w:p>
          <w:p w14:paraId="327434EC" w14:textId="77777777" w:rsidR="005D5960" w:rsidRPr="00F60AC8" w:rsidRDefault="005D5960" w:rsidP="00971F23">
            <w:pPr>
              <w:tabs>
                <w:tab w:val="left" w:pos="3972"/>
              </w:tabs>
              <w:spacing w:before="240" w:after="240"/>
              <w:ind w:left="459"/>
              <w:jc w:val="both"/>
              <w:rPr>
                <w:rFonts w:eastAsia="Calibri" w:cstheme="minorHAnsi"/>
                <w:bCs/>
                <w:spacing w:val="-5"/>
                <w:szCs w:val="24"/>
              </w:rPr>
            </w:pPr>
            <w:r w:rsidRPr="00F60AC8">
              <w:rPr>
                <w:rFonts w:eastAsia="Calibri" w:cstheme="minorHAnsi"/>
                <w:bCs/>
                <w:spacing w:val="-5"/>
                <w:szCs w:val="24"/>
              </w:rPr>
              <w:t xml:space="preserve">Reviewed by: </w:t>
            </w:r>
            <w:r>
              <w:rPr>
                <w:rFonts w:eastAsia="Calibri" w:cstheme="minorHAnsi"/>
                <w:bCs/>
                <w:spacing w:val="-5"/>
                <w:szCs w:val="24"/>
              </w:rPr>
              <w:t>Emma Ward</w:t>
            </w:r>
          </w:p>
          <w:p w14:paraId="2F1F04DF" w14:textId="77777777" w:rsidR="005D5960" w:rsidRPr="00F60AC8" w:rsidRDefault="005D5960" w:rsidP="00971F23">
            <w:pPr>
              <w:tabs>
                <w:tab w:val="left" w:pos="3972"/>
              </w:tabs>
              <w:spacing w:before="240" w:after="240"/>
              <w:ind w:left="459"/>
              <w:jc w:val="both"/>
              <w:rPr>
                <w:rFonts w:eastAsia="Calibri" w:cstheme="minorHAnsi"/>
                <w:bCs/>
                <w:spacing w:val="-5"/>
                <w:szCs w:val="24"/>
              </w:rPr>
            </w:pPr>
            <w:r w:rsidRPr="00F60AC8">
              <w:rPr>
                <w:rFonts w:eastAsia="Calibri" w:cstheme="minorHAnsi"/>
                <w:bCs/>
                <w:spacing w:val="-5"/>
                <w:szCs w:val="24"/>
              </w:rPr>
              <w:t xml:space="preserve">Implementation date:  </w:t>
            </w:r>
            <w:r>
              <w:rPr>
                <w:rFonts w:eastAsia="Calibri" w:cstheme="minorHAnsi"/>
                <w:bCs/>
                <w:spacing w:val="-5"/>
                <w:szCs w:val="24"/>
              </w:rPr>
              <w:t>May 2026</w:t>
            </w:r>
            <w:r w:rsidRPr="00F60AC8">
              <w:rPr>
                <w:rFonts w:eastAsia="Calibri" w:cstheme="minorHAnsi"/>
                <w:bCs/>
                <w:spacing w:val="-5"/>
                <w:szCs w:val="24"/>
              </w:rPr>
              <w:t xml:space="preserve">                                     Next Review date:  </w:t>
            </w:r>
            <w:r>
              <w:rPr>
                <w:rFonts w:eastAsia="Calibri" w:cstheme="minorHAnsi"/>
                <w:bCs/>
                <w:spacing w:val="-5"/>
                <w:szCs w:val="24"/>
              </w:rPr>
              <w:t xml:space="preserve"> May 2027</w:t>
            </w:r>
          </w:p>
          <w:p w14:paraId="540AAF42" w14:textId="77777777" w:rsidR="005D5960" w:rsidRPr="00F60AC8" w:rsidRDefault="005D5960" w:rsidP="00971F23">
            <w:pPr>
              <w:tabs>
                <w:tab w:val="left" w:pos="3972"/>
              </w:tabs>
              <w:spacing w:before="240" w:after="240"/>
              <w:ind w:left="459"/>
              <w:rPr>
                <w:rFonts w:eastAsia="Calibri" w:cs="Arial"/>
                <w:bCs/>
                <w:spacing w:val="-5"/>
                <w:szCs w:val="24"/>
              </w:rPr>
            </w:pPr>
          </w:p>
          <w:p w14:paraId="38F2656C" w14:textId="77777777" w:rsidR="005D5960" w:rsidRPr="00F60AC8" w:rsidRDefault="005D5960" w:rsidP="00971F23">
            <w:pPr>
              <w:tabs>
                <w:tab w:val="left" w:pos="3972"/>
              </w:tabs>
              <w:spacing w:before="240" w:after="240"/>
              <w:ind w:left="459"/>
              <w:rPr>
                <w:rFonts w:eastAsia="Calibri" w:cs="Arial"/>
                <w:bCs/>
                <w:spacing w:val="-5"/>
                <w:szCs w:val="24"/>
              </w:rPr>
            </w:pPr>
            <w:r w:rsidRPr="00F60AC8">
              <w:rPr>
                <w:rFonts w:eastAsia="Calibri" w:cs="Arial"/>
                <w:bCs/>
                <w:spacing w:val="-5"/>
                <w:szCs w:val="24"/>
              </w:rPr>
              <w:tab/>
              <w:t xml:space="preserve"> </w:t>
            </w:r>
          </w:p>
          <w:p w14:paraId="4629B008" w14:textId="77777777" w:rsidR="005D5960" w:rsidRPr="00F60AC8" w:rsidRDefault="005D5960" w:rsidP="00971F23">
            <w:pPr>
              <w:tabs>
                <w:tab w:val="left" w:pos="3972"/>
              </w:tabs>
              <w:spacing w:before="240" w:after="240"/>
              <w:ind w:left="459"/>
              <w:rPr>
                <w:rFonts w:eastAsia="Calibri" w:cs="Arial"/>
                <w:bCs/>
                <w:spacing w:val="-5"/>
                <w:szCs w:val="24"/>
              </w:rPr>
            </w:pPr>
          </w:p>
          <w:p w14:paraId="48530DE7" w14:textId="77777777" w:rsidR="005D5960" w:rsidRPr="00F60AC8" w:rsidRDefault="005D5960" w:rsidP="00971F23">
            <w:pPr>
              <w:tabs>
                <w:tab w:val="left" w:pos="3972"/>
              </w:tabs>
              <w:spacing w:before="240" w:after="240"/>
              <w:ind w:left="459"/>
              <w:rPr>
                <w:rFonts w:eastAsia="Calibri" w:cs="Arial"/>
                <w:bCs/>
                <w:spacing w:val="-5"/>
                <w:szCs w:val="24"/>
              </w:rPr>
            </w:pPr>
          </w:p>
          <w:p w14:paraId="35493F72" w14:textId="77777777" w:rsidR="005D5960" w:rsidRPr="00F60AC8" w:rsidRDefault="005D5960" w:rsidP="00971F23">
            <w:pPr>
              <w:tabs>
                <w:tab w:val="left" w:pos="3972"/>
              </w:tabs>
              <w:spacing w:before="240" w:after="240"/>
              <w:ind w:left="459"/>
              <w:rPr>
                <w:rFonts w:eastAsia="Calibri" w:cs="Arial"/>
                <w:bCs/>
                <w:spacing w:val="-5"/>
                <w:szCs w:val="24"/>
              </w:rPr>
            </w:pPr>
          </w:p>
          <w:p w14:paraId="5613BACD" w14:textId="77777777" w:rsidR="005D5960" w:rsidRPr="00F60AC8" w:rsidRDefault="005D5960" w:rsidP="00971F23">
            <w:pPr>
              <w:tabs>
                <w:tab w:val="left" w:pos="3972"/>
              </w:tabs>
              <w:spacing w:before="240" w:after="240"/>
              <w:rPr>
                <w:rFonts w:eastAsia="Calibri" w:cs="Arial"/>
                <w:b/>
                <w:color w:val="58595B"/>
                <w:szCs w:val="24"/>
              </w:rPr>
            </w:pPr>
          </w:p>
        </w:tc>
      </w:tr>
    </w:tbl>
    <w:p w14:paraId="437FC65E" w14:textId="12277787" w:rsidR="00F04106" w:rsidRDefault="005D5960" w:rsidP="009161AB">
      <w:pPr>
        <w:jc w:val="both"/>
      </w:pPr>
    </w:p>
    <w:p w14:paraId="17E9DA78" w14:textId="77777777" w:rsidR="005E5689" w:rsidRDefault="005E5689" w:rsidP="009161AB">
      <w:pPr>
        <w:jc w:val="both"/>
      </w:pPr>
    </w:p>
    <w:p w14:paraId="3BB08003" w14:textId="77777777" w:rsidR="005E5689" w:rsidRDefault="005E5689" w:rsidP="009161AB">
      <w:pPr>
        <w:jc w:val="both"/>
        <w:rPr>
          <w:rFonts w:cstheme="minorHAnsi"/>
          <w:b/>
          <w:sz w:val="80"/>
          <w:szCs w:val="20"/>
        </w:rPr>
      </w:pPr>
    </w:p>
    <w:p w14:paraId="63DC340A" w14:textId="77777777" w:rsidR="005E5689" w:rsidRDefault="005E5689" w:rsidP="009161AB">
      <w:pPr>
        <w:jc w:val="both"/>
        <w:rPr>
          <w:rFonts w:cstheme="minorHAnsi"/>
          <w:b/>
          <w:sz w:val="24"/>
          <w:szCs w:val="24"/>
        </w:rPr>
      </w:pPr>
    </w:p>
    <w:p w14:paraId="11C55514" w14:textId="77777777" w:rsidR="005E5689" w:rsidRDefault="005E5689" w:rsidP="009161AB">
      <w:pPr>
        <w:jc w:val="both"/>
        <w:rPr>
          <w:rFonts w:cstheme="minorHAnsi"/>
          <w:b/>
          <w:sz w:val="24"/>
          <w:szCs w:val="24"/>
        </w:rPr>
      </w:pPr>
    </w:p>
    <w:p w14:paraId="06EF28BC" w14:textId="77777777" w:rsidR="005D5960" w:rsidRDefault="005D5960" w:rsidP="009161AB">
      <w:pPr>
        <w:jc w:val="both"/>
        <w:rPr>
          <w:rFonts w:cstheme="minorHAnsi"/>
          <w:sz w:val="24"/>
          <w:szCs w:val="24"/>
        </w:rPr>
      </w:pPr>
    </w:p>
    <w:p w14:paraId="63FD3D94" w14:textId="77777777" w:rsidR="005D5960" w:rsidRDefault="005D5960" w:rsidP="009161AB">
      <w:pPr>
        <w:jc w:val="both"/>
        <w:rPr>
          <w:rFonts w:cstheme="minorHAnsi"/>
          <w:sz w:val="24"/>
          <w:szCs w:val="24"/>
        </w:rPr>
      </w:pPr>
    </w:p>
    <w:p w14:paraId="285BE2B3" w14:textId="77777777" w:rsidR="005D5960" w:rsidRDefault="005D5960" w:rsidP="009161AB">
      <w:pPr>
        <w:jc w:val="both"/>
        <w:rPr>
          <w:rFonts w:cstheme="minorHAnsi"/>
          <w:sz w:val="24"/>
          <w:szCs w:val="24"/>
        </w:rPr>
      </w:pPr>
    </w:p>
    <w:p w14:paraId="7EB9945A" w14:textId="77777777" w:rsidR="005D5960" w:rsidRDefault="005D5960" w:rsidP="009161AB">
      <w:pPr>
        <w:jc w:val="both"/>
        <w:rPr>
          <w:rFonts w:cstheme="minorHAnsi"/>
          <w:sz w:val="24"/>
          <w:szCs w:val="24"/>
        </w:rPr>
      </w:pPr>
    </w:p>
    <w:p w14:paraId="51F5B4DE" w14:textId="77777777" w:rsidR="005D5960" w:rsidRDefault="005D5960" w:rsidP="009161AB">
      <w:pPr>
        <w:jc w:val="both"/>
        <w:rPr>
          <w:rFonts w:cstheme="minorHAnsi"/>
          <w:sz w:val="24"/>
          <w:szCs w:val="24"/>
        </w:rPr>
      </w:pPr>
    </w:p>
    <w:p w14:paraId="60451A05" w14:textId="77777777" w:rsidR="005D5960" w:rsidRDefault="005D5960" w:rsidP="009161AB">
      <w:pPr>
        <w:jc w:val="both"/>
        <w:rPr>
          <w:rFonts w:cstheme="minorHAnsi"/>
          <w:sz w:val="24"/>
          <w:szCs w:val="24"/>
        </w:rPr>
      </w:pPr>
    </w:p>
    <w:p w14:paraId="750C1485" w14:textId="77777777" w:rsidR="005D5960" w:rsidRDefault="005D5960" w:rsidP="009161AB">
      <w:pPr>
        <w:jc w:val="both"/>
        <w:rPr>
          <w:rFonts w:cstheme="minorHAnsi"/>
          <w:sz w:val="24"/>
          <w:szCs w:val="24"/>
        </w:rPr>
      </w:pPr>
    </w:p>
    <w:p w14:paraId="12FEF448" w14:textId="77777777" w:rsidR="005D5960" w:rsidRDefault="005D5960" w:rsidP="009161AB">
      <w:pPr>
        <w:jc w:val="both"/>
        <w:rPr>
          <w:rFonts w:cstheme="minorHAnsi"/>
          <w:sz w:val="24"/>
          <w:szCs w:val="24"/>
        </w:rPr>
      </w:pPr>
    </w:p>
    <w:p w14:paraId="20398DC4" w14:textId="77777777" w:rsidR="005D5960" w:rsidRDefault="005D5960" w:rsidP="009161AB">
      <w:pPr>
        <w:jc w:val="both"/>
        <w:rPr>
          <w:rFonts w:cstheme="minorHAnsi"/>
          <w:sz w:val="24"/>
          <w:szCs w:val="24"/>
        </w:rPr>
      </w:pPr>
    </w:p>
    <w:p w14:paraId="38833FEE" w14:textId="77777777" w:rsidR="005D5960" w:rsidRDefault="005D5960" w:rsidP="009161AB">
      <w:pPr>
        <w:jc w:val="both"/>
        <w:rPr>
          <w:rFonts w:cstheme="minorHAnsi"/>
          <w:sz w:val="24"/>
          <w:szCs w:val="24"/>
        </w:rPr>
      </w:pPr>
    </w:p>
    <w:p w14:paraId="7597BE5D" w14:textId="77777777" w:rsidR="005D5960" w:rsidRDefault="005D5960" w:rsidP="009161AB">
      <w:pPr>
        <w:jc w:val="both"/>
        <w:rPr>
          <w:rFonts w:cstheme="minorHAnsi"/>
          <w:sz w:val="24"/>
          <w:szCs w:val="24"/>
        </w:rPr>
      </w:pPr>
    </w:p>
    <w:p w14:paraId="11867529" w14:textId="77777777" w:rsidR="005D5960" w:rsidRDefault="005D5960" w:rsidP="009161AB">
      <w:pPr>
        <w:jc w:val="both"/>
        <w:rPr>
          <w:rFonts w:cstheme="minorHAnsi"/>
          <w:sz w:val="24"/>
          <w:szCs w:val="24"/>
        </w:rPr>
      </w:pPr>
    </w:p>
    <w:p w14:paraId="0E9D4732" w14:textId="77777777" w:rsidR="005D5960" w:rsidRDefault="005D5960" w:rsidP="009161AB">
      <w:pPr>
        <w:jc w:val="both"/>
        <w:rPr>
          <w:rFonts w:cstheme="minorHAnsi"/>
          <w:sz w:val="24"/>
          <w:szCs w:val="24"/>
        </w:rPr>
      </w:pPr>
    </w:p>
    <w:p w14:paraId="02805C0B" w14:textId="77777777" w:rsidR="005D5960" w:rsidRDefault="005D5960" w:rsidP="009161AB">
      <w:pPr>
        <w:jc w:val="both"/>
        <w:rPr>
          <w:rFonts w:cstheme="minorHAnsi"/>
          <w:sz w:val="24"/>
          <w:szCs w:val="24"/>
        </w:rPr>
      </w:pPr>
    </w:p>
    <w:p w14:paraId="7161AC0E" w14:textId="77777777" w:rsidR="005D5960" w:rsidRDefault="005D5960" w:rsidP="009161AB">
      <w:pPr>
        <w:jc w:val="both"/>
        <w:rPr>
          <w:rFonts w:cstheme="minorHAnsi"/>
          <w:sz w:val="24"/>
          <w:szCs w:val="24"/>
        </w:rPr>
      </w:pPr>
    </w:p>
    <w:p w14:paraId="23FB9DF0" w14:textId="77777777" w:rsidR="005D5960" w:rsidRDefault="005D5960" w:rsidP="009161AB">
      <w:pPr>
        <w:jc w:val="both"/>
        <w:rPr>
          <w:rFonts w:cstheme="minorHAnsi"/>
          <w:sz w:val="24"/>
          <w:szCs w:val="24"/>
        </w:rPr>
      </w:pPr>
    </w:p>
    <w:p w14:paraId="5ED74C47" w14:textId="77777777" w:rsidR="005D5960" w:rsidRDefault="005D5960" w:rsidP="009161AB">
      <w:pPr>
        <w:jc w:val="both"/>
        <w:rPr>
          <w:rFonts w:cstheme="minorHAnsi"/>
          <w:sz w:val="24"/>
          <w:szCs w:val="24"/>
        </w:rPr>
      </w:pPr>
    </w:p>
    <w:p w14:paraId="0F19F9BD" w14:textId="77777777" w:rsidR="005D5960" w:rsidRDefault="005D5960" w:rsidP="009161AB">
      <w:pPr>
        <w:jc w:val="both"/>
        <w:rPr>
          <w:rFonts w:cstheme="minorHAnsi"/>
          <w:sz w:val="24"/>
          <w:szCs w:val="24"/>
        </w:rPr>
      </w:pPr>
    </w:p>
    <w:p w14:paraId="62443AC9" w14:textId="77777777" w:rsidR="005D5960" w:rsidRDefault="005D5960" w:rsidP="009161AB">
      <w:pPr>
        <w:jc w:val="both"/>
        <w:rPr>
          <w:rFonts w:cstheme="minorHAnsi"/>
          <w:sz w:val="24"/>
          <w:szCs w:val="24"/>
        </w:rPr>
      </w:pPr>
    </w:p>
    <w:p w14:paraId="2A61848A" w14:textId="77777777" w:rsidR="005D5960" w:rsidRDefault="005D5960" w:rsidP="009161AB">
      <w:pPr>
        <w:jc w:val="both"/>
        <w:rPr>
          <w:rFonts w:cstheme="minorHAnsi"/>
          <w:sz w:val="24"/>
          <w:szCs w:val="24"/>
        </w:rPr>
      </w:pPr>
    </w:p>
    <w:p w14:paraId="2ED3EF22" w14:textId="77777777" w:rsidR="005D5960" w:rsidRDefault="005D5960" w:rsidP="009161AB">
      <w:pPr>
        <w:jc w:val="both"/>
        <w:rPr>
          <w:rFonts w:cstheme="minorHAnsi"/>
          <w:sz w:val="24"/>
          <w:szCs w:val="24"/>
        </w:rPr>
      </w:pPr>
    </w:p>
    <w:p w14:paraId="26E0402A" w14:textId="77777777" w:rsidR="005D5960" w:rsidRDefault="005D5960" w:rsidP="009161AB">
      <w:pPr>
        <w:jc w:val="both"/>
        <w:rPr>
          <w:rFonts w:cstheme="minorHAnsi"/>
          <w:sz w:val="24"/>
          <w:szCs w:val="24"/>
        </w:rPr>
      </w:pPr>
    </w:p>
    <w:p w14:paraId="1C3194A3" w14:textId="77777777" w:rsidR="005D5960" w:rsidRDefault="005D5960" w:rsidP="009161AB">
      <w:pPr>
        <w:jc w:val="both"/>
        <w:rPr>
          <w:rFonts w:cstheme="minorHAnsi"/>
          <w:sz w:val="24"/>
          <w:szCs w:val="24"/>
        </w:rPr>
      </w:pPr>
    </w:p>
    <w:p w14:paraId="2771FF7D" w14:textId="77777777" w:rsidR="005D5960" w:rsidRDefault="005D5960" w:rsidP="009161AB">
      <w:pPr>
        <w:jc w:val="both"/>
        <w:rPr>
          <w:rFonts w:cstheme="minorHAnsi"/>
          <w:sz w:val="24"/>
          <w:szCs w:val="24"/>
        </w:rPr>
      </w:pPr>
    </w:p>
    <w:p w14:paraId="02E5C0D0" w14:textId="77777777" w:rsidR="005D5960" w:rsidRDefault="005D5960" w:rsidP="009161AB">
      <w:pPr>
        <w:jc w:val="both"/>
        <w:rPr>
          <w:rFonts w:cstheme="minorHAnsi"/>
          <w:sz w:val="24"/>
          <w:szCs w:val="24"/>
        </w:rPr>
      </w:pPr>
    </w:p>
    <w:p w14:paraId="228C90B0" w14:textId="77777777" w:rsidR="005D5960" w:rsidRDefault="005D5960" w:rsidP="009161AB">
      <w:pPr>
        <w:jc w:val="both"/>
        <w:rPr>
          <w:rFonts w:cstheme="minorHAnsi"/>
          <w:sz w:val="24"/>
          <w:szCs w:val="24"/>
        </w:rPr>
      </w:pPr>
    </w:p>
    <w:p w14:paraId="5A5D93E4" w14:textId="4322A123" w:rsidR="00CF5742" w:rsidRPr="00CF5742" w:rsidRDefault="00CF5742" w:rsidP="009161AB">
      <w:pPr>
        <w:jc w:val="both"/>
        <w:rPr>
          <w:rFonts w:cstheme="minorHAnsi"/>
          <w:sz w:val="24"/>
          <w:szCs w:val="24"/>
        </w:rPr>
      </w:pPr>
      <w:r w:rsidRPr="00CF5742">
        <w:rPr>
          <w:rFonts w:cstheme="minorHAnsi"/>
          <w:sz w:val="24"/>
          <w:szCs w:val="24"/>
        </w:rPr>
        <w:t xml:space="preserve">At Milford School, we are committed to creating an inclusive, nurturing environment in which every child is valued, supported and enabled to achieve their full potential. We believe that all children, regardless of need </w:t>
      </w:r>
      <w:r w:rsidRPr="00CF5742">
        <w:rPr>
          <w:rFonts w:cstheme="minorHAnsi"/>
          <w:sz w:val="24"/>
          <w:szCs w:val="24"/>
        </w:rPr>
        <w:lastRenderedPageBreak/>
        <w:t>or disability, can flourish academically, socially and emotionally when high expectations, appropriate support and positive relationships are in place.</w:t>
      </w:r>
    </w:p>
    <w:p w14:paraId="52FF7170" w14:textId="40748B5F" w:rsidR="00CF5742" w:rsidRPr="00CF5742" w:rsidRDefault="00CF5742" w:rsidP="009161AB">
      <w:pPr>
        <w:jc w:val="both"/>
        <w:rPr>
          <w:rFonts w:cstheme="minorHAnsi"/>
          <w:sz w:val="24"/>
          <w:szCs w:val="24"/>
        </w:rPr>
      </w:pPr>
      <w:r w:rsidRPr="00CF5742">
        <w:rPr>
          <w:rFonts w:cstheme="minorHAnsi"/>
          <w:sz w:val="24"/>
          <w:szCs w:val="24"/>
        </w:rPr>
        <w:t xml:space="preserve">In line with our inclusive ethos, all teachers are teachers of </w:t>
      </w:r>
      <w:r w:rsidR="009161AB">
        <w:rPr>
          <w:rFonts w:cstheme="minorHAnsi"/>
          <w:sz w:val="24"/>
          <w:szCs w:val="24"/>
        </w:rPr>
        <w:t>Special Educational Needs and Disability (SEND)</w:t>
      </w:r>
      <w:r w:rsidRPr="00CF5742">
        <w:rPr>
          <w:rFonts w:cstheme="minorHAnsi"/>
          <w:sz w:val="24"/>
          <w:szCs w:val="24"/>
        </w:rPr>
        <w:t xml:space="preserve">, and responsibility for supporting pupils with </w:t>
      </w:r>
      <w:r w:rsidR="009161AB">
        <w:rPr>
          <w:rFonts w:cstheme="minorHAnsi"/>
          <w:sz w:val="24"/>
          <w:szCs w:val="24"/>
        </w:rPr>
        <w:t xml:space="preserve">additional needs </w:t>
      </w:r>
      <w:r w:rsidRPr="00CF5742">
        <w:rPr>
          <w:rFonts w:cstheme="minorHAnsi"/>
          <w:sz w:val="24"/>
          <w:szCs w:val="24"/>
        </w:rPr>
        <w:t>is shared across the whole school. We are committed to removing barriers to learning, promoting independence, and ensuring that pupils with SEND are fully integrated into all aspects of school life.</w:t>
      </w:r>
    </w:p>
    <w:p w14:paraId="2CAFA6D6" w14:textId="1DFF9D3F" w:rsidR="00CF5742" w:rsidRPr="00CF5742" w:rsidRDefault="00CF5742" w:rsidP="009161AB">
      <w:pPr>
        <w:jc w:val="both"/>
        <w:rPr>
          <w:rFonts w:cstheme="minorHAnsi"/>
          <w:sz w:val="24"/>
          <w:szCs w:val="24"/>
        </w:rPr>
      </w:pPr>
      <w:r w:rsidRPr="00CF5742">
        <w:rPr>
          <w:rFonts w:cstheme="minorHAnsi"/>
          <w:sz w:val="24"/>
          <w:szCs w:val="24"/>
        </w:rPr>
        <w:t xml:space="preserve">This policy has due regard to the </w:t>
      </w:r>
      <w:r w:rsidR="009161AB">
        <w:rPr>
          <w:rFonts w:cstheme="minorHAnsi"/>
          <w:sz w:val="24"/>
          <w:szCs w:val="24"/>
        </w:rPr>
        <w:t xml:space="preserve">SEND </w:t>
      </w:r>
      <w:r w:rsidRPr="00CF5742">
        <w:rPr>
          <w:rFonts w:cstheme="minorHAnsi"/>
          <w:sz w:val="24"/>
          <w:szCs w:val="24"/>
        </w:rPr>
        <w:t>Code of Practice: 0–25 years, w</w:t>
      </w:r>
      <w:r>
        <w:rPr>
          <w:rFonts w:cstheme="minorHAnsi"/>
          <w:sz w:val="24"/>
          <w:szCs w:val="24"/>
        </w:rPr>
        <w:t xml:space="preserve">hich remains statutory guidance. </w:t>
      </w:r>
      <w:r w:rsidRPr="00CF5742">
        <w:rPr>
          <w:rFonts w:cstheme="minorHAnsi"/>
          <w:sz w:val="24"/>
          <w:szCs w:val="24"/>
        </w:rPr>
        <w:t xml:space="preserve">The Code emphasises that children and young people with SEND should have the same aspirations as their peers: to achieve well, enjoy their education and lead </w:t>
      </w:r>
      <w:r>
        <w:rPr>
          <w:rFonts w:cstheme="minorHAnsi"/>
          <w:sz w:val="24"/>
          <w:szCs w:val="24"/>
        </w:rPr>
        <w:t>happy, fulfilled lives.</w:t>
      </w:r>
    </w:p>
    <w:p w14:paraId="69A02EB7" w14:textId="77777777" w:rsidR="00CF5742" w:rsidRPr="00CF5742" w:rsidRDefault="00CF5742" w:rsidP="009161AB">
      <w:pPr>
        <w:jc w:val="both"/>
        <w:rPr>
          <w:rFonts w:cstheme="minorHAnsi"/>
          <w:b/>
          <w:sz w:val="24"/>
          <w:szCs w:val="24"/>
        </w:rPr>
      </w:pPr>
    </w:p>
    <w:p w14:paraId="412D0D8E" w14:textId="77777777" w:rsidR="00CF5742" w:rsidRPr="00CF5742" w:rsidRDefault="00CF5742" w:rsidP="009161AB">
      <w:pPr>
        <w:spacing w:line="240" w:lineRule="auto"/>
        <w:jc w:val="both"/>
        <w:rPr>
          <w:rFonts w:cstheme="minorHAnsi"/>
          <w:b/>
          <w:sz w:val="24"/>
          <w:szCs w:val="24"/>
          <w:u w:val="single"/>
        </w:rPr>
      </w:pPr>
      <w:r w:rsidRPr="00CF5742">
        <w:rPr>
          <w:rFonts w:cstheme="minorHAnsi"/>
          <w:b/>
          <w:sz w:val="24"/>
          <w:szCs w:val="24"/>
          <w:u w:val="single"/>
        </w:rPr>
        <w:t>Definition of Special Educational Needs and Disability (SEND)</w:t>
      </w:r>
    </w:p>
    <w:p w14:paraId="786DC9B6" w14:textId="77777777" w:rsidR="00CF5742" w:rsidRPr="00CF5742" w:rsidRDefault="00CF5742" w:rsidP="009161AB">
      <w:pPr>
        <w:spacing w:line="240" w:lineRule="auto"/>
        <w:jc w:val="both"/>
        <w:rPr>
          <w:rFonts w:cstheme="minorHAnsi"/>
          <w:sz w:val="24"/>
          <w:szCs w:val="24"/>
        </w:rPr>
      </w:pPr>
      <w:r w:rsidRPr="00CF5742">
        <w:rPr>
          <w:rFonts w:cstheme="minorHAnsi"/>
          <w:sz w:val="24"/>
          <w:szCs w:val="24"/>
        </w:rPr>
        <w:t>A child or young person has SEND if they have a learning difficulty or disability that requires special educational provision to be made for them.</w:t>
      </w:r>
    </w:p>
    <w:p w14:paraId="26E0561C" w14:textId="77777777" w:rsidR="00CF5742" w:rsidRPr="00CF5742" w:rsidRDefault="00CF5742" w:rsidP="009161AB">
      <w:pPr>
        <w:spacing w:line="240" w:lineRule="auto"/>
        <w:jc w:val="both"/>
        <w:rPr>
          <w:rFonts w:cstheme="minorHAnsi"/>
          <w:sz w:val="24"/>
          <w:szCs w:val="24"/>
        </w:rPr>
      </w:pPr>
      <w:r w:rsidRPr="00CF5742">
        <w:rPr>
          <w:rFonts w:cstheme="minorHAnsi"/>
          <w:sz w:val="24"/>
          <w:szCs w:val="24"/>
        </w:rPr>
        <w:t>A child of compulsory school age or a young person has a learning difficulty or disability if they:</w:t>
      </w:r>
    </w:p>
    <w:p w14:paraId="075447EB" w14:textId="77777777" w:rsidR="00CF5742" w:rsidRPr="00CF5742" w:rsidRDefault="00CF5742" w:rsidP="009161AB">
      <w:pPr>
        <w:spacing w:line="240" w:lineRule="auto"/>
        <w:jc w:val="center"/>
        <w:rPr>
          <w:rFonts w:cstheme="minorHAnsi"/>
          <w:sz w:val="24"/>
          <w:szCs w:val="24"/>
        </w:rPr>
      </w:pPr>
      <w:r w:rsidRPr="009161AB">
        <w:rPr>
          <w:rFonts w:cstheme="minorHAnsi"/>
          <w:i/>
          <w:iCs/>
          <w:sz w:val="24"/>
          <w:szCs w:val="24"/>
        </w:rPr>
        <w:t>Have a significantly greater difficulty in learning than the majority of others of the same age, or have a disability that prevents or hinders them from making use of facilities generally provided for others of the same age in mainstream schools</w:t>
      </w:r>
      <w:r w:rsidRPr="00CF5742">
        <w:rPr>
          <w:rFonts w:cstheme="minorHAnsi"/>
          <w:sz w:val="24"/>
          <w:szCs w:val="24"/>
        </w:rPr>
        <w:t>.</w:t>
      </w:r>
    </w:p>
    <w:p w14:paraId="4757AA62" w14:textId="77777777" w:rsidR="00CF5742" w:rsidRPr="00CF5742" w:rsidRDefault="00CF5742" w:rsidP="009161AB">
      <w:pPr>
        <w:spacing w:line="240" w:lineRule="auto"/>
        <w:jc w:val="center"/>
        <w:rPr>
          <w:rFonts w:cstheme="minorHAnsi"/>
          <w:b/>
          <w:sz w:val="24"/>
          <w:szCs w:val="24"/>
        </w:rPr>
      </w:pPr>
      <w:r w:rsidRPr="00CF5742">
        <w:rPr>
          <w:rFonts w:cstheme="minorHAnsi"/>
          <w:sz w:val="24"/>
          <w:szCs w:val="24"/>
        </w:rPr>
        <w:t>(SEND Code of Pr</w:t>
      </w:r>
      <w:r>
        <w:rPr>
          <w:rFonts w:cstheme="minorHAnsi"/>
          <w:sz w:val="24"/>
          <w:szCs w:val="24"/>
        </w:rPr>
        <w:t>actice: 0–25 Years, 2015, p.15)</w:t>
      </w:r>
    </w:p>
    <w:p w14:paraId="09304B4B" w14:textId="77777777" w:rsidR="00CF5742" w:rsidRDefault="00CF5742" w:rsidP="009161AB">
      <w:pPr>
        <w:jc w:val="both"/>
        <w:rPr>
          <w:rFonts w:cstheme="minorHAnsi"/>
          <w:b/>
          <w:sz w:val="24"/>
          <w:szCs w:val="24"/>
        </w:rPr>
      </w:pPr>
    </w:p>
    <w:p w14:paraId="1CC53FFC" w14:textId="77777777" w:rsidR="00CF5742" w:rsidRPr="00CF5742" w:rsidRDefault="00CF5742" w:rsidP="009161AB">
      <w:pPr>
        <w:jc w:val="both"/>
        <w:rPr>
          <w:rFonts w:cstheme="minorHAnsi"/>
          <w:b/>
          <w:sz w:val="24"/>
          <w:szCs w:val="24"/>
          <w:u w:val="single"/>
        </w:rPr>
      </w:pPr>
      <w:r w:rsidRPr="00CF5742">
        <w:rPr>
          <w:rFonts w:cstheme="minorHAnsi"/>
          <w:b/>
          <w:sz w:val="24"/>
          <w:szCs w:val="24"/>
          <w:u w:val="single"/>
        </w:rPr>
        <w:t>Aims</w:t>
      </w:r>
    </w:p>
    <w:p w14:paraId="563461D0" w14:textId="77777777" w:rsidR="00CF5742" w:rsidRPr="00CF5742" w:rsidRDefault="00CF5742" w:rsidP="009161AB">
      <w:pPr>
        <w:jc w:val="both"/>
        <w:rPr>
          <w:rFonts w:cstheme="minorHAnsi"/>
          <w:b/>
          <w:sz w:val="24"/>
          <w:szCs w:val="24"/>
        </w:rPr>
      </w:pPr>
      <w:r w:rsidRPr="00CF5742">
        <w:rPr>
          <w:rFonts w:cstheme="minorHAnsi"/>
          <w:b/>
          <w:sz w:val="24"/>
          <w:szCs w:val="24"/>
        </w:rPr>
        <w:t>Milford School is committed to:</w:t>
      </w:r>
    </w:p>
    <w:p w14:paraId="32995C67" w14:textId="77777777" w:rsidR="00CF5742" w:rsidRPr="00CF5742" w:rsidRDefault="00CF5742" w:rsidP="009161AB">
      <w:pPr>
        <w:pStyle w:val="ListParagraph"/>
        <w:numPr>
          <w:ilvl w:val="0"/>
          <w:numId w:val="9"/>
        </w:numPr>
        <w:jc w:val="both"/>
        <w:rPr>
          <w:rFonts w:cstheme="minorHAnsi"/>
          <w:sz w:val="24"/>
          <w:szCs w:val="24"/>
        </w:rPr>
      </w:pPr>
      <w:r w:rsidRPr="00CF5742">
        <w:rPr>
          <w:rFonts w:cstheme="minorHAnsi"/>
          <w:sz w:val="24"/>
          <w:szCs w:val="24"/>
        </w:rPr>
        <w:t>Identifying all pupils with educational, developmental, physical, social, emotional and mental health needs and ensuring these needs are met.</w:t>
      </w:r>
    </w:p>
    <w:p w14:paraId="407AAE37" w14:textId="77777777" w:rsidR="00CF5742" w:rsidRPr="00CF5742" w:rsidRDefault="00CF5742" w:rsidP="009161AB">
      <w:pPr>
        <w:pStyle w:val="ListParagraph"/>
        <w:numPr>
          <w:ilvl w:val="0"/>
          <w:numId w:val="9"/>
        </w:numPr>
        <w:jc w:val="both"/>
        <w:rPr>
          <w:rFonts w:cstheme="minorHAnsi"/>
          <w:sz w:val="24"/>
          <w:szCs w:val="24"/>
        </w:rPr>
      </w:pPr>
      <w:r w:rsidRPr="00CF5742">
        <w:rPr>
          <w:rFonts w:cstheme="minorHAnsi"/>
          <w:sz w:val="24"/>
          <w:szCs w:val="24"/>
        </w:rPr>
        <w:t>Enabling pupils with SEND to participate fully in all aspects of school life.</w:t>
      </w:r>
    </w:p>
    <w:p w14:paraId="3D7A42CE" w14:textId="77777777" w:rsidR="00CF5742" w:rsidRPr="00CF5742" w:rsidRDefault="00CF5742" w:rsidP="009161AB">
      <w:pPr>
        <w:pStyle w:val="ListParagraph"/>
        <w:numPr>
          <w:ilvl w:val="0"/>
          <w:numId w:val="9"/>
        </w:numPr>
        <w:jc w:val="both"/>
        <w:rPr>
          <w:rFonts w:cstheme="minorHAnsi"/>
          <w:sz w:val="24"/>
          <w:szCs w:val="24"/>
        </w:rPr>
      </w:pPr>
      <w:r w:rsidRPr="00CF5742">
        <w:rPr>
          <w:rFonts w:cstheme="minorHAnsi"/>
          <w:sz w:val="24"/>
          <w:szCs w:val="24"/>
        </w:rPr>
        <w:t>Ensuring early identification and timely intervention for pupils with SEND.</w:t>
      </w:r>
    </w:p>
    <w:p w14:paraId="1661B5FA" w14:textId="77777777" w:rsidR="00CF5742" w:rsidRPr="00CF5742" w:rsidRDefault="00CF5742" w:rsidP="009161AB">
      <w:pPr>
        <w:pStyle w:val="ListParagraph"/>
        <w:numPr>
          <w:ilvl w:val="0"/>
          <w:numId w:val="9"/>
        </w:numPr>
        <w:jc w:val="both"/>
        <w:rPr>
          <w:rFonts w:cstheme="minorHAnsi"/>
          <w:sz w:val="24"/>
          <w:szCs w:val="24"/>
        </w:rPr>
      </w:pPr>
      <w:r w:rsidRPr="00CF5742">
        <w:rPr>
          <w:rFonts w:cstheme="minorHAnsi"/>
          <w:sz w:val="24"/>
          <w:szCs w:val="24"/>
        </w:rPr>
        <w:t>Providing appropriate resources, adaptations and support to remove barriers to learning.</w:t>
      </w:r>
    </w:p>
    <w:p w14:paraId="3D8EE2D4" w14:textId="77777777" w:rsidR="00CF5742" w:rsidRPr="00CF5742" w:rsidRDefault="00CF5742" w:rsidP="009161AB">
      <w:pPr>
        <w:pStyle w:val="ListParagraph"/>
        <w:numPr>
          <w:ilvl w:val="0"/>
          <w:numId w:val="9"/>
        </w:numPr>
        <w:jc w:val="both"/>
        <w:rPr>
          <w:rFonts w:cstheme="minorHAnsi"/>
          <w:sz w:val="24"/>
          <w:szCs w:val="24"/>
        </w:rPr>
      </w:pPr>
      <w:r w:rsidRPr="00CF5742">
        <w:rPr>
          <w:rFonts w:cstheme="minorHAnsi"/>
          <w:sz w:val="24"/>
          <w:szCs w:val="24"/>
        </w:rPr>
        <w:t>Maintaining effective and transparent communication with parents and carers, actively involving them in planning and reviewing provision.</w:t>
      </w:r>
    </w:p>
    <w:p w14:paraId="2DA0C2E5" w14:textId="77777777" w:rsidR="00CF5742" w:rsidRPr="00CF5742" w:rsidRDefault="00CF5742" w:rsidP="009161AB">
      <w:pPr>
        <w:pStyle w:val="ListParagraph"/>
        <w:numPr>
          <w:ilvl w:val="0"/>
          <w:numId w:val="9"/>
        </w:numPr>
        <w:jc w:val="both"/>
        <w:rPr>
          <w:rFonts w:cstheme="minorHAnsi"/>
          <w:sz w:val="24"/>
          <w:szCs w:val="24"/>
        </w:rPr>
      </w:pPr>
      <w:r w:rsidRPr="00CF5742">
        <w:rPr>
          <w:rFonts w:cstheme="minorHAnsi"/>
          <w:sz w:val="24"/>
          <w:szCs w:val="24"/>
        </w:rPr>
        <w:t>Supporting the ongoing professional development of all staff in SEND.</w:t>
      </w:r>
    </w:p>
    <w:p w14:paraId="0B61A9E8" w14:textId="77777777" w:rsidR="00CF5742" w:rsidRPr="00B624C4" w:rsidRDefault="00CF5742" w:rsidP="009161AB">
      <w:pPr>
        <w:pStyle w:val="ListParagraph"/>
        <w:numPr>
          <w:ilvl w:val="0"/>
          <w:numId w:val="9"/>
        </w:numPr>
        <w:jc w:val="both"/>
        <w:rPr>
          <w:rFonts w:cstheme="minorHAnsi"/>
          <w:sz w:val="24"/>
          <w:szCs w:val="24"/>
        </w:rPr>
      </w:pPr>
      <w:r w:rsidRPr="00B624C4">
        <w:rPr>
          <w:rFonts w:cstheme="minorHAnsi"/>
          <w:sz w:val="24"/>
          <w:szCs w:val="24"/>
        </w:rPr>
        <w:t>Valuing and celebrating difference and diversity.</w:t>
      </w:r>
    </w:p>
    <w:p w14:paraId="3CBFCD2C" w14:textId="77777777" w:rsidR="00B624C4" w:rsidRDefault="00CF5742" w:rsidP="009161AB">
      <w:pPr>
        <w:pStyle w:val="ListParagraph"/>
        <w:numPr>
          <w:ilvl w:val="0"/>
          <w:numId w:val="9"/>
        </w:numPr>
        <w:jc w:val="both"/>
        <w:rPr>
          <w:rFonts w:cstheme="minorHAnsi"/>
          <w:sz w:val="24"/>
          <w:szCs w:val="24"/>
        </w:rPr>
      </w:pPr>
      <w:r w:rsidRPr="00B624C4">
        <w:rPr>
          <w:rFonts w:cstheme="minorHAnsi"/>
          <w:sz w:val="24"/>
          <w:szCs w:val="24"/>
        </w:rPr>
        <w:t>Working in partnership with external agencies to meet pupils’ needs effectively.</w:t>
      </w:r>
    </w:p>
    <w:p w14:paraId="252EEB0D" w14:textId="77777777" w:rsidR="00B624C4" w:rsidRDefault="00B624C4" w:rsidP="009161AB">
      <w:pPr>
        <w:jc w:val="both"/>
        <w:rPr>
          <w:rFonts w:cstheme="minorHAnsi"/>
          <w:b/>
          <w:sz w:val="24"/>
          <w:szCs w:val="24"/>
        </w:rPr>
      </w:pPr>
    </w:p>
    <w:p w14:paraId="13FC11F0" w14:textId="77777777" w:rsidR="00CF5742" w:rsidRPr="00B624C4" w:rsidRDefault="00CF5742" w:rsidP="009161AB">
      <w:pPr>
        <w:jc w:val="both"/>
        <w:rPr>
          <w:rFonts w:cstheme="minorHAnsi"/>
          <w:sz w:val="24"/>
          <w:szCs w:val="24"/>
          <w:u w:val="single"/>
        </w:rPr>
      </w:pPr>
      <w:r w:rsidRPr="00B624C4">
        <w:rPr>
          <w:rFonts w:cstheme="minorHAnsi"/>
          <w:b/>
          <w:sz w:val="24"/>
          <w:szCs w:val="24"/>
          <w:u w:val="single"/>
        </w:rPr>
        <w:t>Organisation of Teaching and Learning</w:t>
      </w:r>
    </w:p>
    <w:p w14:paraId="4848F137" w14:textId="77777777" w:rsidR="00CF5742" w:rsidRPr="00B624C4" w:rsidRDefault="00CF5742" w:rsidP="009161AB">
      <w:pPr>
        <w:jc w:val="both"/>
        <w:rPr>
          <w:rFonts w:cstheme="minorHAnsi"/>
          <w:sz w:val="24"/>
          <w:szCs w:val="24"/>
        </w:rPr>
      </w:pPr>
      <w:r w:rsidRPr="00B624C4">
        <w:rPr>
          <w:rFonts w:cstheme="minorHAnsi"/>
          <w:sz w:val="24"/>
          <w:szCs w:val="24"/>
        </w:rPr>
        <w:t>Teaching pupils with SEND is a whole</w:t>
      </w:r>
      <w:r w:rsidRPr="00B624C4">
        <w:rPr>
          <w:rFonts w:ascii="Cambria Math" w:hAnsi="Cambria Math" w:cs="Cambria Math"/>
          <w:sz w:val="24"/>
          <w:szCs w:val="24"/>
        </w:rPr>
        <w:t>‑</w:t>
      </w:r>
      <w:r w:rsidRPr="00B624C4">
        <w:rPr>
          <w:rFonts w:cstheme="minorHAnsi"/>
          <w:sz w:val="24"/>
          <w:szCs w:val="24"/>
        </w:rPr>
        <w:t>school responsibility.</w:t>
      </w:r>
    </w:p>
    <w:p w14:paraId="315A9A55" w14:textId="77777777" w:rsidR="00CF5742" w:rsidRPr="00B624C4" w:rsidRDefault="00CF5742" w:rsidP="009161AB">
      <w:pPr>
        <w:jc w:val="both"/>
        <w:rPr>
          <w:rFonts w:cstheme="minorHAnsi"/>
          <w:sz w:val="24"/>
          <w:szCs w:val="24"/>
        </w:rPr>
      </w:pPr>
      <w:r w:rsidRPr="00B624C4">
        <w:rPr>
          <w:rFonts w:cstheme="minorHAnsi"/>
          <w:sz w:val="24"/>
          <w:szCs w:val="24"/>
        </w:rPr>
        <w:t>To achieve our aims, we use:</w:t>
      </w:r>
    </w:p>
    <w:p w14:paraId="7BDF7010" w14:textId="77777777" w:rsidR="00CF5742"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The expertise of class teachers, the SENCo and the Headteacher.</w:t>
      </w:r>
    </w:p>
    <w:p w14:paraId="45DB1710" w14:textId="77777777" w:rsidR="00CF5742"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Learning Support Assistants working under the direction of teachers to support pupils.</w:t>
      </w:r>
    </w:p>
    <w:p w14:paraId="0110A765" w14:textId="77777777" w:rsidR="00CF5742"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A graduated response following the Assess, Plan, Do, Review cycle as set out in the SEND Code of Practice.</w:t>
      </w:r>
    </w:p>
    <w:p w14:paraId="76F2745A" w14:textId="77777777" w:rsidR="00CF5742"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Surrey guidance, including Ordinarily Available Provision.</w:t>
      </w:r>
    </w:p>
    <w:p w14:paraId="4E669669" w14:textId="77777777" w:rsidR="00B624C4"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lastRenderedPageBreak/>
        <w:t>Multi</w:t>
      </w:r>
      <w:r w:rsidRPr="00B624C4">
        <w:rPr>
          <w:rFonts w:ascii="Cambria Math" w:hAnsi="Cambria Math" w:cs="Cambria Math"/>
          <w:sz w:val="24"/>
          <w:szCs w:val="24"/>
        </w:rPr>
        <w:t>‑</w:t>
      </w:r>
      <w:r w:rsidRPr="00B624C4">
        <w:rPr>
          <w:rFonts w:cstheme="minorHAnsi"/>
          <w:sz w:val="24"/>
          <w:szCs w:val="24"/>
        </w:rPr>
        <w:t>agency professionals, including:</w:t>
      </w:r>
      <w:r w:rsidR="00B624C4" w:rsidRPr="00B624C4">
        <w:rPr>
          <w:rFonts w:cstheme="minorHAnsi"/>
          <w:sz w:val="24"/>
          <w:szCs w:val="24"/>
        </w:rPr>
        <w:t xml:space="preserve"> </w:t>
      </w:r>
      <w:r w:rsidRPr="00B624C4">
        <w:rPr>
          <w:rFonts w:cstheme="minorHAnsi"/>
          <w:sz w:val="24"/>
          <w:szCs w:val="24"/>
        </w:rPr>
        <w:t>Specialist Teachers for Inclusive Practice (STIP),</w:t>
      </w:r>
      <w:r w:rsidR="00B624C4" w:rsidRPr="00B624C4">
        <w:rPr>
          <w:rFonts w:cstheme="minorHAnsi"/>
          <w:sz w:val="24"/>
          <w:szCs w:val="24"/>
        </w:rPr>
        <w:t xml:space="preserve"> </w:t>
      </w:r>
      <w:r w:rsidRPr="00B624C4">
        <w:rPr>
          <w:rFonts w:cstheme="minorHAnsi"/>
          <w:sz w:val="24"/>
          <w:szCs w:val="24"/>
        </w:rPr>
        <w:t>Speech and Language Therapists,</w:t>
      </w:r>
      <w:r w:rsidR="00B624C4" w:rsidRPr="00B624C4">
        <w:rPr>
          <w:rFonts w:cstheme="minorHAnsi"/>
          <w:sz w:val="24"/>
          <w:szCs w:val="24"/>
        </w:rPr>
        <w:t xml:space="preserve"> </w:t>
      </w:r>
      <w:r w:rsidRPr="00B624C4">
        <w:rPr>
          <w:rFonts w:cstheme="minorHAnsi"/>
          <w:sz w:val="24"/>
          <w:szCs w:val="24"/>
        </w:rPr>
        <w:t>Occupational Therapists,</w:t>
      </w:r>
      <w:r w:rsidR="00B624C4" w:rsidRPr="00B624C4">
        <w:rPr>
          <w:rFonts w:cstheme="minorHAnsi"/>
          <w:sz w:val="24"/>
          <w:szCs w:val="24"/>
        </w:rPr>
        <w:t xml:space="preserve"> </w:t>
      </w:r>
      <w:r w:rsidRPr="00B624C4">
        <w:rPr>
          <w:rFonts w:cstheme="minorHAnsi"/>
          <w:sz w:val="24"/>
          <w:szCs w:val="24"/>
        </w:rPr>
        <w:t>Educational Psychologists.</w:t>
      </w:r>
    </w:p>
    <w:p w14:paraId="50A506F2" w14:textId="77777777" w:rsidR="00B624C4"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Full integration of pupils with SEND alongside their peers wherever possible.</w:t>
      </w:r>
    </w:p>
    <w:p w14:paraId="660852B8" w14:textId="77777777" w:rsidR="00B624C4"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Adaptation of learning through task design, resources, levels of support, outcomes and assessment.</w:t>
      </w:r>
    </w:p>
    <w:p w14:paraId="685A50C1" w14:textId="77777777" w:rsidR="00B624C4"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A range of specialist resources and guidance for staff and parents.</w:t>
      </w:r>
    </w:p>
    <w:p w14:paraId="6BD8FC3D" w14:textId="77777777" w:rsidR="00B624C4"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Robust assessment, recording and tracking systems to identify needs early and monitor progress.</w:t>
      </w:r>
    </w:p>
    <w:p w14:paraId="7E51A139" w14:textId="77777777" w:rsidR="00B624C4"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Provision mapping and intervention monitoring to evaluate impact and value for money.</w:t>
      </w:r>
    </w:p>
    <w:p w14:paraId="1CA30BA9" w14:textId="77777777" w:rsidR="00B624C4" w:rsidRPr="00B624C4" w:rsidRDefault="00B624C4" w:rsidP="009161AB">
      <w:pPr>
        <w:pStyle w:val="ListParagraph"/>
        <w:numPr>
          <w:ilvl w:val="0"/>
          <w:numId w:val="10"/>
        </w:numPr>
        <w:jc w:val="both"/>
        <w:rPr>
          <w:rFonts w:cstheme="minorHAnsi"/>
          <w:sz w:val="24"/>
          <w:szCs w:val="24"/>
        </w:rPr>
      </w:pPr>
      <w:r w:rsidRPr="00B624C4">
        <w:rPr>
          <w:rFonts w:cstheme="minorHAnsi"/>
          <w:sz w:val="24"/>
          <w:szCs w:val="24"/>
        </w:rPr>
        <w:t>C</w:t>
      </w:r>
      <w:r w:rsidR="00CF5742" w:rsidRPr="00B624C4">
        <w:rPr>
          <w:rFonts w:cstheme="minorHAnsi"/>
          <w:sz w:val="24"/>
          <w:szCs w:val="24"/>
        </w:rPr>
        <w:t>ontinuous staff training through INSET and professional development.</w:t>
      </w:r>
    </w:p>
    <w:p w14:paraId="360300ED" w14:textId="77777777" w:rsidR="00CF5742" w:rsidRPr="00B624C4" w:rsidRDefault="00CF5742" w:rsidP="009161AB">
      <w:pPr>
        <w:pStyle w:val="ListParagraph"/>
        <w:numPr>
          <w:ilvl w:val="0"/>
          <w:numId w:val="10"/>
        </w:numPr>
        <w:jc w:val="both"/>
        <w:rPr>
          <w:rFonts w:cstheme="minorHAnsi"/>
          <w:sz w:val="24"/>
          <w:szCs w:val="24"/>
        </w:rPr>
      </w:pPr>
      <w:r w:rsidRPr="00B624C4">
        <w:rPr>
          <w:rFonts w:cstheme="minorHAnsi"/>
          <w:sz w:val="24"/>
          <w:szCs w:val="24"/>
        </w:rPr>
        <w:t xml:space="preserve">Targeted individual or group support through </w:t>
      </w:r>
      <w:r w:rsidR="00B624C4">
        <w:rPr>
          <w:rFonts w:cstheme="minorHAnsi"/>
          <w:sz w:val="24"/>
          <w:szCs w:val="24"/>
        </w:rPr>
        <w:t>Child Learning Plans (CLPs)</w:t>
      </w:r>
      <w:r w:rsidRPr="00B624C4">
        <w:rPr>
          <w:rFonts w:cstheme="minorHAnsi"/>
          <w:sz w:val="24"/>
          <w:szCs w:val="24"/>
        </w:rPr>
        <w:t xml:space="preserve"> and, where appropriate, the Education, Health and Care Plan (EHCP) process.</w:t>
      </w:r>
    </w:p>
    <w:p w14:paraId="2C475638" w14:textId="77777777" w:rsidR="00CF5742" w:rsidRPr="00CF5742" w:rsidRDefault="00CF5742" w:rsidP="009161AB">
      <w:pPr>
        <w:jc w:val="both"/>
        <w:rPr>
          <w:rFonts w:cstheme="minorHAnsi"/>
          <w:b/>
          <w:sz w:val="24"/>
          <w:szCs w:val="24"/>
        </w:rPr>
      </w:pPr>
    </w:p>
    <w:p w14:paraId="47C37F2E" w14:textId="77777777" w:rsidR="00CF5742" w:rsidRPr="00B624C4" w:rsidRDefault="00CF5742" w:rsidP="009161AB">
      <w:pPr>
        <w:jc w:val="both"/>
        <w:rPr>
          <w:rFonts w:cstheme="minorHAnsi"/>
          <w:b/>
          <w:sz w:val="24"/>
          <w:szCs w:val="24"/>
          <w:u w:val="single"/>
        </w:rPr>
      </w:pPr>
      <w:r w:rsidRPr="00B624C4">
        <w:rPr>
          <w:rFonts w:cstheme="minorHAnsi"/>
          <w:b/>
          <w:sz w:val="24"/>
          <w:szCs w:val="24"/>
          <w:u w:val="single"/>
        </w:rPr>
        <w:t>Responsibilities of the Class Teacher</w:t>
      </w:r>
    </w:p>
    <w:p w14:paraId="31F2E393" w14:textId="77777777" w:rsidR="00B624C4" w:rsidRPr="00B624C4" w:rsidRDefault="00CF5742" w:rsidP="009161AB">
      <w:pPr>
        <w:jc w:val="both"/>
        <w:rPr>
          <w:rFonts w:cstheme="minorHAnsi"/>
          <w:sz w:val="24"/>
          <w:szCs w:val="24"/>
        </w:rPr>
      </w:pPr>
      <w:r w:rsidRPr="00B624C4">
        <w:rPr>
          <w:rFonts w:cstheme="minorHAnsi"/>
          <w:sz w:val="24"/>
          <w:szCs w:val="24"/>
        </w:rPr>
        <w:t>Clas</w:t>
      </w:r>
      <w:r w:rsidR="00B624C4" w:rsidRPr="00B624C4">
        <w:rPr>
          <w:rFonts w:cstheme="minorHAnsi"/>
          <w:sz w:val="24"/>
          <w:szCs w:val="24"/>
        </w:rPr>
        <w:t>s teachers are responsible for:</w:t>
      </w:r>
    </w:p>
    <w:p w14:paraId="4E114C67" w14:textId="77777777" w:rsidR="00B624C4" w:rsidRPr="00B624C4" w:rsidRDefault="00CF5742" w:rsidP="009161AB">
      <w:pPr>
        <w:pStyle w:val="ListParagraph"/>
        <w:numPr>
          <w:ilvl w:val="0"/>
          <w:numId w:val="11"/>
        </w:numPr>
        <w:jc w:val="both"/>
        <w:rPr>
          <w:rFonts w:cstheme="minorHAnsi"/>
          <w:sz w:val="24"/>
          <w:szCs w:val="24"/>
        </w:rPr>
      </w:pPr>
      <w:r w:rsidRPr="00B624C4">
        <w:rPr>
          <w:rFonts w:cstheme="minorHAnsi"/>
          <w:sz w:val="24"/>
          <w:szCs w:val="24"/>
        </w:rPr>
        <w:t>Delivering high</w:t>
      </w:r>
      <w:r w:rsidRPr="00B624C4">
        <w:rPr>
          <w:rFonts w:ascii="Cambria Math" w:hAnsi="Cambria Math" w:cs="Cambria Math"/>
          <w:sz w:val="24"/>
          <w:szCs w:val="24"/>
        </w:rPr>
        <w:t>‑</w:t>
      </w:r>
      <w:r w:rsidRPr="00B624C4">
        <w:rPr>
          <w:rFonts w:cstheme="minorHAnsi"/>
          <w:sz w:val="24"/>
          <w:szCs w:val="24"/>
        </w:rPr>
        <w:t>quality adaptive teaching so that pupils with SEND can access:</w:t>
      </w:r>
      <w:r w:rsidR="00B624C4" w:rsidRPr="00B624C4">
        <w:rPr>
          <w:rFonts w:cstheme="minorHAnsi"/>
          <w:sz w:val="24"/>
          <w:szCs w:val="24"/>
        </w:rPr>
        <w:t xml:space="preserve"> </w:t>
      </w:r>
      <w:r w:rsidRPr="00B624C4">
        <w:rPr>
          <w:rFonts w:cstheme="minorHAnsi"/>
          <w:sz w:val="24"/>
          <w:szCs w:val="24"/>
        </w:rPr>
        <w:t>the Primary National Curriculum, and</w:t>
      </w:r>
      <w:r w:rsidR="00B624C4" w:rsidRPr="00B624C4">
        <w:rPr>
          <w:rFonts w:cstheme="minorHAnsi"/>
          <w:sz w:val="24"/>
          <w:szCs w:val="24"/>
        </w:rPr>
        <w:t xml:space="preserve"> </w:t>
      </w:r>
      <w:r w:rsidRPr="00B624C4">
        <w:rPr>
          <w:rFonts w:cstheme="minorHAnsi"/>
          <w:sz w:val="24"/>
          <w:szCs w:val="24"/>
        </w:rPr>
        <w:t>the EYFS Statutory Framework (Sep</w:t>
      </w:r>
      <w:r w:rsidR="00B624C4" w:rsidRPr="00B624C4">
        <w:rPr>
          <w:rFonts w:cstheme="minorHAnsi"/>
          <w:sz w:val="24"/>
          <w:szCs w:val="24"/>
        </w:rPr>
        <w:t xml:space="preserve">tember 2023) where applicable. </w:t>
      </w:r>
    </w:p>
    <w:p w14:paraId="08ACE8A2" w14:textId="77777777" w:rsidR="00B624C4" w:rsidRPr="00B624C4" w:rsidRDefault="00CF5742" w:rsidP="009161AB">
      <w:pPr>
        <w:pStyle w:val="ListParagraph"/>
        <w:numPr>
          <w:ilvl w:val="0"/>
          <w:numId w:val="11"/>
        </w:numPr>
        <w:jc w:val="both"/>
        <w:rPr>
          <w:rFonts w:cstheme="minorHAnsi"/>
          <w:sz w:val="24"/>
          <w:szCs w:val="24"/>
        </w:rPr>
      </w:pPr>
      <w:r w:rsidRPr="00B624C4">
        <w:rPr>
          <w:rFonts w:cstheme="minorHAnsi"/>
          <w:sz w:val="24"/>
          <w:szCs w:val="24"/>
        </w:rPr>
        <w:t>Adapting home learning tasks to meet individual needs.</w:t>
      </w:r>
    </w:p>
    <w:p w14:paraId="6C6540D4" w14:textId="01BCC6F9" w:rsidR="00B624C4" w:rsidRPr="00B624C4" w:rsidRDefault="00CF5742" w:rsidP="009161AB">
      <w:pPr>
        <w:pStyle w:val="ListParagraph"/>
        <w:numPr>
          <w:ilvl w:val="0"/>
          <w:numId w:val="11"/>
        </w:numPr>
        <w:jc w:val="both"/>
        <w:rPr>
          <w:rFonts w:cstheme="minorHAnsi"/>
          <w:sz w:val="24"/>
          <w:szCs w:val="24"/>
        </w:rPr>
      </w:pPr>
      <w:r w:rsidRPr="00B624C4">
        <w:rPr>
          <w:rFonts w:cstheme="minorHAnsi"/>
          <w:sz w:val="24"/>
          <w:szCs w:val="24"/>
        </w:rPr>
        <w:t>Working with the SENC</w:t>
      </w:r>
      <w:r w:rsidR="009161AB">
        <w:rPr>
          <w:rFonts w:cstheme="minorHAnsi"/>
          <w:sz w:val="24"/>
          <w:szCs w:val="24"/>
        </w:rPr>
        <w:t>O</w:t>
      </w:r>
      <w:r w:rsidRPr="00B624C4">
        <w:rPr>
          <w:rFonts w:cstheme="minorHAnsi"/>
          <w:sz w:val="24"/>
          <w:szCs w:val="24"/>
        </w:rPr>
        <w:t xml:space="preserve"> to plan, deliver and review provision that is additional to or different from that provided for other pupils.</w:t>
      </w:r>
    </w:p>
    <w:p w14:paraId="0374E4C7" w14:textId="77777777" w:rsidR="00B624C4" w:rsidRPr="00B624C4" w:rsidRDefault="00CF5742" w:rsidP="009161AB">
      <w:pPr>
        <w:pStyle w:val="ListParagraph"/>
        <w:numPr>
          <w:ilvl w:val="0"/>
          <w:numId w:val="11"/>
        </w:numPr>
        <w:jc w:val="both"/>
        <w:rPr>
          <w:rFonts w:cstheme="minorHAnsi"/>
          <w:sz w:val="24"/>
          <w:szCs w:val="24"/>
        </w:rPr>
      </w:pPr>
      <w:r w:rsidRPr="00B624C4">
        <w:rPr>
          <w:rFonts w:cstheme="minorHAnsi"/>
          <w:sz w:val="24"/>
          <w:szCs w:val="24"/>
        </w:rPr>
        <w:t>Promoting social inclusion and positive peer relationships.</w:t>
      </w:r>
    </w:p>
    <w:p w14:paraId="36795F2A" w14:textId="77777777" w:rsidR="00B624C4" w:rsidRPr="00B624C4" w:rsidRDefault="00CF5742" w:rsidP="009161AB">
      <w:pPr>
        <w:pStyle w:val="ListParagraph"/>
        <w:numPr>
          <w:ilvl w:val="0"/>
          <w:numId w:val="11"/>
        </w:numPr>
        <w:jc w:val="both"/>
        <w:rPr>
          <w:rFonts w:cstheme="minorHAnsi"/>
          <w:sz w:val="24"/>
          <w:szCs w:val="24"/>
        </w:rPr>
      </w:pPr>
      <w:r w:rsidRPr="00B624C4">
        <w:rPr>
          <w:rFonts w:cstheme="minorHAnsi"/>
          <w:sz w:val="24"/>
          <w:szCs w:val="24"/>
        </w:rPr>
        <w:t>Identifying pupils who may require additional support.</w:t>
      </w:r>
    </w:p>
    <w:p w14:paraId="6944A2ED" w14:textId="77777777" w:rsidR="00B624C4" w:rsidRPr="00B624C4" w:rsidRDefault="00CF5742" w:rsidP="009161AB">
      <w:pPr>
        <w:pStyle w:val="ListParagraph"/>
        <w:numPr>
          <w:ilvl w:val="0"/>
          <w:numId w:val="11"/>
        </w:numPr>
        <w:jc w:val="both"/>
        <w:rPr>
          <w:rFonts w:cstheme="minorHAnsi"/>
          <w:sz w:val="24"/>
          <w:szCs w:val="24"/>
        </w:rPr>
      </w:pPr>
      <w:r w:rsidRPr="00B624C4">
        <w:rPr>
          <w:rFonts w:cstheme="minorHAnsi"/>
          <w:sz w:val="24"/>
          <w:szCs w:val="24"/>
        </w:rPr>
        <w:t>Communicating effectively with Learning Support Assistants to ensure appropriate provision.</w:t>
      </w:r>
    </w:p>
    <w:p w14:paraId="092B41AE" w14:textId="77777777" w:rsidR="00B624C4" w:rsidRPr="00B624C4" w:rsidRDefault="00CF5742" w:rsidP="009161AB">
      <w:pPr>
        <w:pStyle w:val="ListParagraph"/>
        <w:numPr>
          <w:ilvl w:val="0"/>
          <w:numId w:val="11"/>
        </w:numPr>
        <w:jc w:val="both"/>
        <w:rPr>
          <w:rFonts w:cstheme="minorHAnsi"/>
          <w:sz w:val="24"/>
          <w:szCs w:val="24"/>
        </w:rPr>
      </w:pPr>
      <w:r w:rsidRPr="00B624C4">
        <w:rPr>
          <w:rFonts w:cstheme="minorHAnsi"/>
          <w:sz w:val="24"/>
          <w:szCs w:val="24"/>
        </w:rPr>
        <w:t xml:space="preserve">Writing and reviewing </w:t>
      </w:r>
      <w:r w:rsidR="00B624C4" w:rsidRPr="00B624C4">
        <w:rPr>
          <w:rFonts w:cstheme="minorHAnsi"/>
          <w:sz w:val="24"/>
          <w:szCs w:val="24"/>
        </w:rPr>
        <w:t>CLP</w:t>
      </w:r>
      <w:r w:rsidRPr="00B624C4">
        <w:rPr>
          <w:rFonts w:cstheme="minorHAnsi"/>
          <w:sz w:val="24"/>
          <w:szCs w:val="24"/>
        </w:rPr>
        <w:t>s termly in line with the Assess, Plan, Do, Review cycle.</w:t>
      </w:r>
    </w:p>
    <w:p w14:paraId="5B83730C" w14:textId="77777777" w:rsidR="00B624C4" w:rsidRPr="00B624C4" w:rsidRDefault="00CF5742" w:rsidP="009161AB">
      <w:pPr>
        <w:pStyle w:val="ListParagraph"/>
        <w:numPr>
          <w:ilvl w:val="0"/>
          <w:numId w:val="11"/>
        </w:numPr>
        <w:jc w:val="both"/>
        <w:rPr>
          <w:rFonts w:cstheme="minorHAnsi"/>
          <w:sz w:val="24"/>
          <w:szCs w:val="24"/>
        </w:rPr>
      </w:pPr>
      <w:r w:rsidRPr="00B624C4">
        <w:rPr>
          <w:rFonts w:cstheme="minorHAnsi"/>
          <w:sz w:val="24"/>
          <w:szCs w:val="24"/>
        </w:rPr>
        <w:t>Ensuring pupil and parent views are reflected in planning and reviews.</w:t>
      </w:r>
    </w:p>
    <w:p w14:paraId="5CE16E19" w14:textId="77777777" w:rsidR="00B624C4" w:rsidRPr="00B624C4" w:rsidRDefault="00CF5742" w:rsidP="009161AB">
      <w:pPr>
        <w:pStyle w:val="ListParagraph"/>
        <w:numPr>
          <w:ilvl w:val="0"/>
          <w:numId w:val="11"/>
        </w:numPr>
        <w:jc w:val="both"/>
        <w:rPr>
          <w:rFonts w:cstheme="minorHAnsi"/>
          <w:sz w:val="24"/>
          <w:szCs w:val="24"/>
        </w:rPr>
      </w:pPr>
      <w:r w:rsidRPr="00B624C4">
        <w:rPr>
          <w:rFonts w:cstheme="minorHAnsi"/>
          <w:sz w:val="24"/>
          <w:szCs w:val="24"/>
        </w:rPr>
        <w:t>Keeping parents informed of progress.</w:t>
      </w:r>
    </w:p>
    <w:p w14:paraId="4F498DA6" w14:textId="77777777" w:rsidR="00CF5742" w:rsidRDefault="00CF5742" w:rsidP="009161AB">
      <w:pPr>
        <w:pStyle w:val="ListParagraph"/>
        <w:numPr>
          <w:ilvl w:val="0"/>
          <w:numId w:val="11"/>
        </w:numPr>
        <w:jc w:val="both"/>
        <w:rPr>
          <w:rFonts w:cstheme="minorHAnsi"/>
          <w:sz w:val="24"/>
          <w:szCs w:val="24"/>
        </w:rPr>
      </w:pPr>
      <w:r w:rsidRPr="00B624C4">
        <w:rPr>
          <w:rFonts w:cstheme="minorHAnsi"/>
          <w:sz w:val="24"/>
          <w:szCs w:val="24"/>
        </w:rPr>
        <w:t>Providing pupils with opportunities to reflect on and contribute to their learning.</w:t>
      </w:r>
    </w:p>
    <w:p w14:paraId="53CBE79B" w14:textId="77777777" w:rsidR="00B624C4" w:rsidRPr="00B624C4" w:rsidRDefault="00B624C4" w:rsidP="009161AB">
      <w:pPr>
        <w:pStyle w:val="ListParagraph"/>
        <w:jc w:val="both"/>
        <w:rPr>
          <w:rFonts w:cstheme="minorHAnsi"/>
          <w:sz w:val="24"/>
          <w:szCs w:val="24"/>
        </w:rPr>
      </w:pPr>
    </w:p>
    <w:p w14:paraId="5080F807" w14:textId="77777777" w:rsidR="00CF5742" w:rsidRPr="00B624C4" w:rsidRDefault="00CF5742" w:rsidP="009161AB">
      <w:pPr>
        <w:jc w:val="both"/>
        <w:rPr>
          <w:rFonts w:cstheme="minorHAnsi"/>
          <w:b/>
          <w:sz w:val="24"/>
          <w:szCs w:val="24"/>
          <w:u w:val="single"/>
        </w:rPr>
      </w:pPr>
      <w:r w:rsidRPr="00B624C4">
        <w:rPr>
          <w:rFonts w:cstheme="minorHAnsi"/>
          <w:b/>
          <w:sz w:val="24"/>
          <w:szCs w:val="24"/>
          <w:u w:val="single"/>
        </w:rPr>
        <w:t>Responsibilities of Learning Support Assistants</w:t>
      </w:r>
    </w:p>
    <w:p w14:paraId="7EB812C2" w14:textId="77777777" w:rsidR="00CF5742" w:rsidRPr="00B624C4" w:rsidRDefault="00CF5742" w:rsidP="009161AB">
      <w:pPr>
        <w:jc w:val="both"/>
        <w:rPr>
          <w:rFonts w:cstheme="minorHAnsi"/>
          <w:sz w:val="24"/>
          <w:szCs w:val="24"/>
        </w:rPr>
      </w:pPr>
      <w:r w:rsidRPr="00B624C4">
        <w:rPr>
          <w:rFonts w:cstheme="minorHAnsi"/>
          <w:sz w:val="24"/>
          <w:szCs w:val="24"/>
        </w:rPr>
        <w:t>Under the direction of the class teacher, Learning Support Assistants will:</w:t>
      </w:r>
    </w:p>
    <w:p w14:paraId="76B4A418" w14:textId="77777777" w:rsidR="00CF5742" w:rsidRPr="00B624C4" w:rsidRDefault="00CF5742" w:rsidP="009161AB">
      <w:pPr>
        <w:pStyle w:val="ListParagraph"/>
        <w:numPr>
          <w:ilvl w:val="0"/>
          <w:numId w:val="12"/>
        </w:numPr>
        <w:jc w:val="both"/>
        <w:rPr>
          <w:rFonts w:cstheme="minorHAnsi"/>
          <w:sz w:val="24"/>
          <w:szCs w:val="24"/>
        </w:rPr>
      </w:pPr>
      <w:r w:rsidRPr="00B624C4">
        <w:rPr>
          <w:rFonts w:cstheme="minorHAnsi"/>
          <w:sz w:val="24"/>
          <w:szCs w:val="24"/>
        </w:rPr>
        <w:t>Provide targeted support to pupils with SEND.</w:t>
      </w:r>
    </w:p>
    <w:p w14:paraId="0B08243C" w14:textId="5E7DEC22" w:rsidR="00CF5742" w:rsidRPr="00B624C4" w:rsidRDefault="00CF5742" w:rsidP="009161AB">
      <w:pPr>
        <w:pStyle w:val="ListParagraph"/>
        <w:numPr>
          <w:ilvl w:val="0"/>
          <w:numId w:val="12"/>
        </w:numPr>
        <w:jc w:val="both"/>
        <w:rPr>
          <w:rFonts w:cstheme="minorHAnsi"/>
          <w:sz w:val="24"/>
          <w:szCs w:val="24"/>
        </w:rPr>
      </w:pPr>
      <w:r w:rsidRPr="00B624C4">
        <w:rPr>
          <w:rFonts w:cstheme="minorHAnsi"/>
          <w:sz w:val="24"/>
          <w:szCs w:val="24"/>
        </w:rPr>
        <w:t xml:space="preserve">Support pupils in working towards </w:t>
      </w:r>
      <w:r w:rsidR="009161AB">
        <w:rPr>
          <w:rFonts w:cstheme="minorHAnsi"/>
          <w:sz w:val="24"/>
          <w:szCs w:val="24"/>
        </w:rPr>
        <w:t>C</w:t>
      </w:r>
      <w:r w:rsidRPr="00B624C4">
        <w:rPr>
          <w:rFonts w:cstheme="minorHAnsi"/>
          <w:sz w:val="24"/>
          <w:szCs w:val="24"/>
        </w:rPr>
        <w:t>LP targets.</w:t>
      </w:r>
    </w:p>
    <w:p w14:paraId="5262BA7B" w14:textId="5B314AD6" w:rsidR="00CF5742" w:rsidRPr="00B624C4" w:rsidRDefault="00CF5742" w:rsidP="009161AB">
      <w:pPr>
        <w:pStyle w:val="ListParagraph"/>
        <w:numPr>
          <w:ilvl w:val="0"/>
          <w:numId w:val="12"/>
        </w:numPr>
        <w:jc w:val="both"/>
        <w:rPr>
          <w:rFonts w:cstheme="minorHAnsi"/>
          <w:sz w:val="24"/>
          <w:szCs w:val="24"/>
        </w:rPr>
      </w:pPr>
      <w:r w:rsidRPr="00B624C4">
        <w:rPr>
          <w:rFonts w:cstheme="minorHAnsi"/>
          <w:sz w:val="24"/>
          <w:szCs w:val="24"/>
        </w:rPr>
        <w:t xml:space="preserve">Monitor and feedback on progress against </w:t>
      </w:r>
      <w:r w:rsidR="009161AB">
        <w:rPr>
          <w:rFonts w:cstheme="minorHAnsi"/>
          <w:sz w:val="24"/>
          <w:szCs w:val="24"/>
        </w:rPr>
        <w:t>C</w:t>
      </w:r>
      <w:r w:rsidRPr="00B624C4">
        <w:rPr>
          <w:rFonts w:cstheme="minorHAnsi"/>
          <w:sz w:val="24"/>
          <w:szCs w:val="24"/>
        </w:rPr>
        <w:t>LPs and One Page Profiles.</w:t>
      </w:r>
    </w:p>
    <w:p w14:paraId="3098F2BA" w14:textId="77777777" w:rsidR="00CF5742" w:rsidRPr="00B624C4" w:rsidRDefault="00CF5742" w:rsidP="009161AB">
      <w:pPr>
        <w:pStyle w:val="ListParagraph"/>
        <w:numPr>
          <w:ilvl w:val="0"/>
          <w:numId w:val="12"/>
        </w:numPr>
        <w:jc w:val="both"/>
        <w:rPr>
          <w:rFonts w:cstheme="minorHAnsi"/>
          <w:sz w:val="24"/>
          <w:szCs w:val="24"/>
        </w:rPr>
      </w:pPr>
      <w:r w:rsidRPr="00B624C4">
        <w:rPr>
          <w:rFonts w:cstheme="minorHAnsi"/>
          <w:sz w:val="24"/>
          <w:szCs w:val="24"/>
        </w:rPr>
        <w:t>Deliver intervention programmes as directed.</w:t>
      </w:r>
    </w:p>
    <w:p w14:paraId="76A48E94" w14:textId="77777777" w:rsidR="00CF5742" w:rsidRPr="00B624C4" w:rsidRDefault="00CF5742" w:rsidP="009161AB">
      <w:pPr>
        <w:pStyle w:val="ListParagraph"/>
        <w:numPr>
          <w:ilvl w:val="0"/>
          <w:numId w:val="12"/>
        </w:numPr>
        <w:jc w:val="both"/>
        <w:rPr>
          <w:rFonts w:cstheme="minorHAnsi"/>
          <w:sz w:val="24"/>
          <w:szCs w:val="24"/>
        </w:rPr>
      </w:pPr>
      <w:r w:rsidRPr="00B624C4">
        <w:rPr>
          <w:rFonts w:cstheme="minorHAnsi"/>
          <w:sz w:val="24"/>
          <w:szCs w:val="24"/>
        </w:rPr>
        <w:t>Maintain clear and accurate records of intervention sessions.</w:t>
      </w:r>
    </w:p>
    <w:p w14:paraId="21FEA8C5" w14:textId="5A356D15" w:rsidR="00CF5742" w:rsidRPr="00B624C4" w:rsidRDefault="00CF5742" w:rsidP="009161AB">
      <w:pPr>
        <w:pStyle w:val="ListParagraph"/>
        <w:numPr>
          <w:ilvl w:val="0"/>
          <w:numId w:val="12"/>
        </w:numPr>
        <w:jc w:val="both"/>
        <w:rPr>
          <w:rFonts w:cstheme="minorHAnsi"/>
          <w:sz w:val="24"/>
          <w:szCs w:val="24"/>
        </w:rPr>
      </w:pPr>
      <w:r w:rsidRPr="00B624C4">
        <w:rPr>
          <w:rFonts w:cstheme="minorHAnsi"/>
          <w:sz w:val="24"/>
          <w:szCs w:val="24"/>
        </w:rPr>
        <w:t>Share concerns and progress with teachers and the SENC</w:t>
      </w:r>
      <w:r w:rsidR="009161AB">
        <w:rPr>
          <w:rFonts w:cstheme="minorHAnsi"/>
          <w:sz w:val="24"/>
          <w:szCs w:val="24"/>
        </w:rPr>
        <w:t>O</w:t>
      </w:r>
      <w:r w:rsidRPr="00B624C4">
        <w:rPr>
          <w:rFonts w:cstheme="minorHAnsi"/>
          <w:sz w:val="24"/>
          <w:szCs w:val="24"/>
        </w:rPr>
        <w:t>.</w:t>
      </w:r>
    </w:p>
    <w:p w14:paraId="419D61B6" w14:textId="77777777" w:rsidR="00CF5742" w:rsidRPr="00B624C4" w:rsidRDefault="00CF5742" w:rsidP="009161AB">
      <w:pPr>
        <w:pStyle w:val="ListParagraph"/>
        <w:numPr>
          <w:ilvl w:val="0"/>
          <w:numId w:val="12"/>
        </w:numPr>
        <w:jc w:val="both"/>
        <w:rPr>
          <w:rFonts w:cstheme="minorHAnsi"/>
          <w:sz w:val="24"/>
          <w:szCs w:val="24"/>
        </w:rPr>
      </w:pPr>
      <w:r w:rsidRPr="00B624C4">
        <w:rPr>
          <w:rFonts w:cstheme="minorHAnsi"/>
          <w:sz w:val="24"/>
          <w:szCs w:val="24"/>
        </w:rPr>
        <w:t>Support pupils’ social inclusion during unstructured times.</w:t>
      </w:r>
    </w:p>
    <w:p w14:paraId="4DBA5C48" w14:textId="77777777" w:rsidR="00CF5742" w:rsidRPr="00B624C4" w:rsidRDefault="00CF5742" w:rsidP="009161AB">
      <w:pPr>
        <w:pStyle w:val="ListParagraph"/>
        <w:numPr>
          <w:ilvl w:val="0"/>
          <w:numId w:val="12"/>
        </w:numPr>
        <w:jc w:val="both"/>
        <w:rPr>
          <w:rFonts w:cstheme="minorHAnsi"/>
          <w:sz w:val="24"/>
          <w:szCs w:val="24"/>
        </w:rPr>
      </w:pPr>
      <w:r w:rsidRPr="00B624C4">
        <w:rPr>
          <w:rFonts w:cstheme="minorHAnsi"/>
          <w:sz w:val="24"/>
          <w:szCs w:val="24"/>
        </w:rPr>
        <w:t>Promote independence and resilience.</w:t>
      </w:r>
    </w:p>
    <w:p w14:paraId="017315D8" w14:textId="77777777" w:rsidR="00CF5742" w:rsidRPr="00B624C4" w:rsidRDefault="00CF5742" w:rsidP="009161AB">
      <w:pPr>
        <w:pStyle w:val="ListParagraph"/>
        <w:numPr>
          <w:ilvl w:val="0"/>
          <w:numId w:val="12"/>
        </w:numPr>
        <w:jc w:val="both"/>
        <w:rPr>
          <w:rFonts w:cstheme="minorHAnsi"/>
          <w:sz w:val="24"/>
          <w:szCs w:val="24"/>
        </w:rPr>
      </w:pPr>
      <w:r w:rsidRPr="00B624C4">
        <w:rPr>
          <w:rFonts w:cstheme="minorHAnsi"/>
          <w:sz w:val="24"/>
          <w:szCs w:val="24"/>
        </w:rPr>
        <w:t>Familiarise themselves with teachers’ planning to provide effective support.</w:t>
      </w:r>
    </w:p>
    <w:p w14:paraId="3719B139" w14:textId="77777777" w:rsidR="00CF5742" w:rsidRPr="00CF5742" w:rsidRDefault="00CF5742" w:rsidP="009161AB">
      <w:pPr>
        <w:jc w:val="both"/>
        <w:rPr>
          <w:rFonts w:cstheme="minorHAnsi"/>
          <w:b/>
          <w:sz w:val="24"/>
          <w:szCs w:val="24"/>
        </w:rPr>
      </w:pPr>
    </w:p>
    <w:p w14:paraId="6FB0A28F" w14:textId="69C39349" w:rsidR="00CF5742" w:rsidRPr="00B624C4" w:rsidRDefault="00CF5742" w:rsidP="009161AB">
      <w:pPr>
        <w:jc w:val="both"/>
        <w:rPr>
          <w:rFonts w:cstheme="minorHAnsi"/>
          <w:b/>
          <w:sz w:val="24"/>
          <w:szCs w:val="24"/>
          <w:u w:val="single"/>
        </w:rPr>
      </w:pPr>
      <w:r w:rsidRPr="00B624C4">
        <w:rPr>
          <w:rFonts w:cstheme="minorHAnsi"/>
          <w:b/>
          <w:sz w:val="24"/>
          <w:szCs w:val="24"/>
          <w:u w:val="single"/>
        </w:rPr>
        <w:t>Role of the Special Educational Needs Co</w:t>
      </w:r>
      <w:r w:rsidRPr="00B624C4">
        <w:rPr>
          <w:rFonts w:ascii="Cambria Math" w:hAnsi="Cambria Math" w:cs="Cambria Math"/>
          <w:b/>
          <w:sz w:val="24"/>
          <w:szCs w:val="24"/>
          <w:u w:val="single"/>
        </w:rPr>
        <w:t>‑</w:t>
      </w:r>
      <w:r w:rsidRPr="00B624C4">
        <w:rPr>
          <w:rFonts w:cstheme="minorHAnsi"/>
          <w:b/>
          <w:sz w:val="24"/>
          <w:szCs w:val="24"/>
          <w:u w:val="single"/>
        </w:rPr>
        <w:t>ordinator (SENC</w:t>
      </w:r>
      <w:r w:rsidR="009161AB">
        <w:rPr>
          <w:rFonts w:cstheme="minorHAnsi"/>
          <w:b/>
          <w:sz w:val="24"/>
          <w:szCs w:val="24"/>
          <w:u w:val="single"/>
        </w:rPr>
        <w:t>O</w:t>
      </w:r>
      <w:r w:rsidRPr="00B624C4">
        <w:rPr>
          <w:rFonts w:cstheme="minorHAnsi"/>
          <w:b/>
          <w:sz w:val="24"/>
          <w:szCs w:val="24"/>
          <w:u w:val="single"/>
        </w:rPr>
        <w:t>)</w:t>
      </w:r>
    </w:p>
    <w:p w14:paraId="66593EDC" w14:textId="1BE38222" w:rsidR="00CF5742" w:rsidRPr="00B624C4" w:rsidRDefault="00B624C4" w:rsidP="009161AB">
      <w:pPr>
        <w:jc w:val="both"/>
        <w:rPr>
          <w:rFonts w:cstheme="minorHAnsi"/>
          <w:sz w:val="24"/>
          <w:szCs w:val="24"/>
        </w:rPr>
      </w:pPr>
      <w:r>
        <w:rPr>
          <w:rFonts w:cstheme="minorHAnsi"/>
          <w:sz w:val="24"/>
          <w:szCs w:val="24"/>
        </w:rPr>
        <w:t>The SENC</w:t>
      </w:r>
      <w:r w:rsidR="009161AB">
        <w:rPr>
          <w:rFonts w:cstheme="minorHAnsi"/>
          <w:sz w:val="24"/>
          <w:szCs w:val="24"/>
        </w:rPr>
        <w:t>O</w:t>
      </w:r>
      <w:r>
        <w:rPr>
          <w:rFonts w:cstheme="minorHAnsi"/>
          <w:sz w:val="24"/>
          <w:szCs w:val="24"/>
        </w:rPr>
        <w:t xml:space="preserve"> is responsible for:</w:t>
      </w:r>
    </w:p>
    <w:p w14:paraId="08CD61F4"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Leading SEND provision in line with Mil</w:t>
      </w:r>
      <w:r w:rsidR="00B624C4" w:rsidRPr="00B624C4">
        <w:rPr>
          <w:rFonts w:cstheme="minorHAnsi"/>
          <w:sz w:val="24"/>
          <w:szCs w:val="24"/>
        </w:rPr>
        <w:t>ford</w:t>
      </w:r>
      <w:r w:rsidRPr="00B624C4">
        <w:rPr>
          <w:rFonts w:cstheme="minorHAnsi"/>
          <w:sz w:val="24"/>
          <w:szCs w:val="24"/>
        </w:rPr>
        <w:t xml:space="preserve"> School’s ethos.</w:t>
      </w:r>
    </w:p>
    <w:p w14:paraId="4A3393EC" w14:textId="020400F6"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Coordinating provision for pupils with EHCPs and those receiving SEN</w:t>
      </w:r>
      <w:r w:rsidR="009161AB">
        <w:rPr>
          <w:rFonts w:cstheme="minorHAnsi"/>
          <w:sz w:val="24"/>
          <w:szCs w:val="24"/>
        </w:rPr>
        <w:t>D</w:t>
      </w:r>
      <w:r w:rsidRPr="00B624C4">
        <w:rPr>
          <w:rFonts w:cstheme="minorHAnsi"/>
          <w:sz w:val="24"/>
          <w:szCs w:val="24"/>
        </w:rPr>
        <w:t xml:space="preserve"> Support.</w:t>
      </w:r>
    </w:p>
    <w:p w14:paraId="37BEAD1C"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lastRenderedPageBreak/>
        <w:t>Monitoring pupils at risk of underachievement.</w:t>
      </w:r>
    </w:p>
    <w:p w14:paraId="2903E5FD"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Managing and allocating SEND resources and budget.</w:t>
      </w:r>
    </w:p>
    <w:p w14:paraId="159AD415"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Ensuring staff are up to date with legislation and good practice.</w:t>
      </w:r>
    </w:p>
    <w:p w14:paraId="6FC6F3CE"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Monitoring and evaluating SEND provision and outcomes.</w:t>
      </w:r>
    </w:p>
    <w:p w14:paraId="3E841F4C"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Supporting and delivering professional development.</w:t>
      </w:r>
    </w:p>
    <w:p w14:paraId="6DB16B04"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Analysing data to identify strengths and areas for development.</w:t>
      </w:r>
    </w:p>
    <w:p w14:paraId="4A637270"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Liaising with parents, carers and external professionals.</w:t>
      </w:r>
    </w:p>
    <w:p w14:paraId="642A016F"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Arranging and chairing EHCP annual reviews.</w:t>
      </w:r>
    </w:p>
    <w:p w14:paraId="3A85FBDB"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Supporting transitions between stages and levels of support.</w:t>
      </w:r>
    </w:p>
    <w:p w14:paraId="411BD60D"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Using standardised assessments to identify needs.</w:t>
      </w:r>
    </w:p>
    <w:p w14:paraId="63EF943A" w14:textId="77777777" w:rsidR="00CF5742" w:rsidRPr="00B624C4" w:rsidRDefault="00CF5742" w:rsidP="009161AB">
      <w:pPr>
        <w:pStyle w:val="ListParagraph"/>
        <w:numPr>
          <w:ilvl w:val="0"/>
          <w:numId w:val="13"/>
        </w:numPr>
        <w:jc w:val="both"/>
        <w:rPr>
          <w:rFonts w:cstheme="minorHAnsi"/>
          <w:sz w:val="24"/>
          <w:szCs w:val="24"/>
        </w:rPr>
      </w:pPr>
      <w:r w:rsidRPr="00B624C4">
        <w:rPr>
          <w:rFonts w:cstheme="minorHAnsi"/>
          <w:sz w:val="24"/>
          <w:szCs w:val="24"/>
        </w:rPr>
        <w:t>Maintaining and reviewing the SEND register.</w:t>
      </w:r>
    </w:p>
    <w:p w14:paraId="7916574C" w14:textId="51A94E1A" w:rsidR="00B624C4" w:rsidRPr="00B624C4" w:rsidRDefault="00CF5742" w:rsidP="009161AB">
      <w:pPr>
        <w:jc w:val="both"/>
        <w:rPr>
          <w:rFonts w:cstheme="minorHAnsi"/>
          <w:sz w:val="24"/>
          <w:szCs w:val="24"/>
        </w:rPr>
      </w:pPr>
      <w:r w:rsidRPr="00B624C4">
        <w:rPr>
          <w:rFonts w:cstheme="minorHAnsi"/>
          <w:sz w:val="24"/>
          <w:szCs w:val="24"/>
        </w:rPr>
        <w:t>SENC</w:t>
      </w:r>
      <w:r w:rsidR="009161AB">
        <w:rPr>
          <w:rFonts w:cstheme="minorHAnsi"/>
          <w:sz w:val="24"/>
          <w:szCs w:val="24"/>
        </w:rPr>
        <w:t>O</w:t>
      </w:r>
      <w:r w:rsidRPr="00B624C4">
        <w:rPr>
          <w:rFonts w:cstheme="minorHAnsi"/>
          <w:sz w:val="24"/>
          <w:szCs w:val="24"/>
        </w:rPr>
        <w:t xml:space="preserve"> qualification requirements NASENC</w:t>
      </w:r>
      <w:r w:rsidR="009161AB">
        <w:rPr>
          <w:rFonts w:cstheme="minorHAnsi"/>
          <w:sz w:val="24"/>
          <w:szCs w:val="24"/>
        </w:rPr>
        <w:t>O</w:t>
      </w:r>
      <w:r w:rsidRPr="00B624C4">
        <w:rPr>
          <w:rFonts w:cstheme="minorHAnsi"/>
          <w:sz w:val="24"/>
          <w:szCs w:val="24"/>
        </w:rPr>
        <w:t xml:space="preserve"> </w:t>
      </w:r>
      <w:r w:rsidR="00B624C4">
        <w:rPr>
          <w:rFonts w:cstheme="minorHAnsi"/>
          <w:sz w:val="24"/>
          <w:szCs w:val="24"/>
        </w:rPr>
        <w:t xml:space="preserve">or </w:t>
      </w:r>
      <w:r w:rsidRPr="00B624C4">
        <w:rPr>
          <w:rFonts w:cstheme="minorHAnsi"/>
          <w:sz w:val="24"/>
          <w:szCs w:val="24"/>
        </w:rPr>
        <w:t>National Professional Qualification (NPQ) for SENCOs for newly appointed SENC</w:t>
      </w:r>
      <w:r w:rsidR="009161AB">
        <w:rPr>
          <w:rFonts w:cstheme="minorHAnsi"/>
          <w:sz w:val="24"/>
          <w:szCs w:val="24"/>
        </w:rPr>
        <w:t>O</w:t>
      </w:r>
      <w:r w:rsidRPr="00B624C4">
        <w:rPr>
          <w:rFonts w:cstheme="minorHAnsi"/>
          <w:sz w:val="24"/>
          <w:szCs w:val="24"/>
        </w:rPr>
        <w:t xml:space="preserve">s. </w:t>
      </w:r>
    </w:p>
    <w:p w14:paraId="692003D4" w14:textId="77777777" w:rsidR="00CF5742" w:rsidRPr="00B624C4" w:rsidRDefault="00CF5742" w:rsidP="009161AB">
      <w:pPr>
        <w:jc w:val="both"/>
        <w:rPr>
          <w:rFonts w:cstheme="minorHAnsi"/>
          <w:b/>
          <w:sz w:val="24"/>
          <w:szCs w:val="24"/>
          <w:u w:val="single"/>
        </w:rPr>
      </w:pPr>
      <w:r w:rsidRPr="00B624C4">
        <w:rPr>
          <w:rFonts w:cstheme="minorHAnsi"/>
          <w:b/>
          <w:sz w:val="24"/>
          <w:szCs w:val="24"/>
          <w:u w:val="single"/>
        </w:rPr>
        <w:t>Admission Arrangements</w:t>
      </w:r>
    </w:p>
    <w:p w14:paraId="0C3FDAB9" w14:textId="77777777" w:rsidR="00CF5742" w:rsidRPr="00B624C4" w:rsidRDefault="00CF5742" w:rsidP="009161AB">
      <w:pPr>
        <w:jc w:val="both"/>
        <w:rPr>
          <w:rFonts w:cstheme="minorHAnsi"/>
          <w:sz w:val="24"/>
          <w:szCs w:val="24"/>
        </w:rPr>
      </w:pPr>
      <w:r w:rsidRPr="00B624C4">
        <w:rPr>
          <w:rFonts w:cstheme="minorHAnsi"/>
          <w:sz w:val="24"/>
          <w:szCs w:val="24"/>
        </w:rPr>
        <w:t>Milford School provides for children with a wide range of abilities. Admissions for pupils with SEND follow the school’s admissions policy and local authority guidance.</w:t>
      </w:r>
    </w:p>
    <w:p w14:paraId="08B6A49B" w14:textId="77777777" w:rsidR="00CF5742" w:rsidRPr="00B624C4" w:rsidRDefault="00CF5742" w:rsidP="009161AB">
      <w:pPr>
        <w:jc w:val="both"/>
        <w:rPr>
          <w:rFonts w:cstheme="minorHAnsi"/>
          <w:sz w:val="24"/>
          <w:szCs w:val="24"/>
        </w:rPr>
      </w:pPr>
      <w:r w:rsidRPr="00B624C4">
        <w:rPr>
          <w:rFonts w:cstheme="minorHAnsi"/>
          <w:sz w:val="24"/>
          <w:szCs w:val="24"/>
        </w:rPr>
        <w:t>Pupils with SEND are admitted provided that their needs can be met within the efficient education of others and the effective use of resources, in line with County policy.</w:t>
      </w:r>
    </w:p>
    <w:p w14:paraId="61D58707" w14:textId="77777777" w:rsidR="00CF5742" w:rsidRPr="00B624C4" w:rsidRDefault="00CF5742" w:rsidP="009161AB">
      <w:pPr>
        <w:jc w:val="both"/>
        <w:rPr>
          <w:rFonts w:cstheme="minorHAnsi"/>
          <w:b/>
          <w:sz w:val="24"/>
          <w:szCs w:val="24"/>
          <w:u w:val="single"/>
        </w:rPr>
      </w:pPr>
      <w:r w:rsidRPr="00B624C4">
        <w:rPr>
          <w:rFonts w:cstheme="minorHAnsi"/>
          <w:b/>
          <w:sz w:val="24"/>
          <w:szCs w:val="24"/>
          <w:u w:val="single"/>
        </w:rPr>
        <w:t>Identification and Assessment</w:t>
      </w:r>
    </w:p>
    <w:p w14:paraId="57AA04A3" w14:textId="77777777" w:rsidR="00CF5742" w:rsidRPr="00B624C4" w:rsidRDefault="00CF5742" w:rsidP="009161AB">
      <w:pPr>
        <w:jc w:val="both"/>
        <w:rPr>
          <w:rFonts w:cstheme="minorHAnsi"/>
          <w:sz w:val="24"/>
          <w:szCs w:val="24"/>
        </w:rPr>
      </w:pPr>
      <w:r w:rsidRPr="00B624C4">
        <w:rPr>
          <w:rFonts w:cstheme="minorHAnsi"/>
          <w:sz w:val="24"/>
          <w:szCs w:val="24"/>
        </w:rPr>
        <w:t>Milford School is committed to early identification and intervention through a graduated approach.</w:t>
      </w:r>
    </w:p>
    <w:p w14:paraId="3080CD0A" w14:textId="77777777" w:rsidR="00CF5742" w:rsidRPr="00B624C4" w:rsidRDefault="00B624C4" w:rsidP="009161AB">
      <w:pPr>
        <w:jc w:val="both"/>
        <w:rPr>
          <w:rFonts w:cstheme="minorHAnsi"/>
          <w:sz w:val="24"/>
          <w:szCs w:val="24"/>
        </w:rPr>
      </w:pPr>
      <w:r>
        <w:rPr>
          <w:rFonts w:cstheme="minorHAnsi"/>
          <w:sz w:val="24"/>
          <w:szCs w:val="24"/>
        </w:rPr>
        <w:t>We identify SEND through:</w:t>
      </w:r>
    </w:p>
    <w:p w14:paraId="5846BAB8" w14:textId="77777777" w:rsidR="00CF5742" w:rsidRPr="00B624C4" w:rsidRDefault="00CF5742" w:rsidP="009161AB">
      <w:pPr>
        <w:pStyle w:val="ListParagraph"/>
        <w:numPr>
          <w:ilvl w:val="0"/>
          <w:numId w:val="14"/>
        </w:numPr>
        <w:jc w:val="both"/>
        <w:rPr>
          <w:rFonts w:cstheme="minorHAnsi"/>
          <w:sz w:val="24"/>
          <w:szCs w:val="24"/>
        </w:rPr>
      </w:pPr>
      <w:r w:rsidRPr="00B624C4">
        <w:rPr>
          <w:rFonts w:cstheme="minorHAnsi"/>
          <w:sz w:val="24"/>
          <w:szCs w:val="24"/>
        </w:rPr>
        <w:t>Concerns raised by teachers, parents or external agencies.</w:t>
      </w:r>
    </w:p>
    <w:p w14:paraId="2C7606A0" w14:textId="77777777" w:rsidR="00CF5742" w:rsidRPr="00B624C4" w:rsidRDefault="00CF5742" w:rsidP="009161AB">
      <w:pPr>
        <w:pStyle w:val="ListParagraph"/>
        <w:numPr>
          <w:ilvl w:val="0"/>
          <w:numId w:val="14"/>
        </w:numPr>
        <w:jc w:val="both"/>
        <w:rPr>
          <w:rFonts w:cstheme="minorHAnsi"/>
          <w:sz w:val="24"/>
          <w:szCs w:val="24"/>
        </w:rPr>
      </w:pPr>
      <w:r w:rsidRPr="00B624C4">
        <w:rPr>
          <w:rFonts w:cstheme="minorHAnsi"/>
          <w:sz w:val="24"/>
          <w:szCs w:val="24"/>
        </w:rPr>
        <w:t>Liaison with previous settings and early years providers.</w:t>
      </w:r>
    </w:p>
    <w:p w14:paraId="46E9038A" w14:textId="77777777" w:rsidR="00CF5742" w:rsidRPr="00B624C4" w:rsidRDefault="00CF5742" w:rsidP="009161AB">
      <w:pPr>
        <w:pStyle w:val="ListParagraph"/>
        <w:numPr>
          <w:ilvl w:val="0"/>
          <w:numId w:val="14"/>
        </w:numPr>
        <w:jc w:val="both"/>
        <w:rPr>
          <w:rFonts w:cstheme="minorHAnsi"/>
          <w:sz w:val="24"/>
          <w:szCs w:val="24"/>
        </w:rPr>
      </w:pPr>
      <w:r w:rsidRPr="00B624C4">
        <w:rPr>
          <w:rFonts w:cstheme="minorHAnsi"/>
          <w:sz w:val="24"/>
          <w:szCs w:val="24"/>
        </w:rPr>
        <w:t>Continuous monitoring of progress.</w:t>
      </w:r>
    </w:p>
    <w:p w14:paraId="74398FAF" w14:textId="77777777" w:rsidR="00CF5742" w:rsidRPr="00B624C4" w:rsidRDefault="00CF5742" w:rsidP="009161AB">
      <w:pPr>
        <w:pStyle w:val="ListParagraph"/>
        <w:numPr>
          <w:ilvl w:val="0"/>
          <w:numId w:val="14"/>
        </w:numPr>
        <w:jc w:val="both"/>
        <w:rPr>
          <w:rFonts w:cstheme="minorHAnsi"/>
          <w:sz w:val="24"/>
          <w:szCs w:val="24"/>
        </w:rPr>
      </w:pPr>
      <w:r w:rsidRPr="00B624C4">
        <w:rPr>
          <w:rFonts w:cstheme="minorHAnsi"/>
          <w:sz w:val="24"/>
          <w:szCs w:val="24"/>
        </w:rPr>
        <w:t>Diagnostic assessments where progress remains limited despite intervention.</w:t>
      </w:r>
    </w:p>
    <w:p w14:paraId="5F4A2283" w14:textId="77777777" w:rsidR="00CF5742" w:rsidRPr="00B624C4" w:rsidRDefault="00CF5742" w:rsidP="009161AB">
      <w:pPr>
        <w:pStyle w:val="ListParagraph"/>
        <w:numPr>
          <w:ilvl w:val="0"/>
          <w:numId w:val="14"/>
        </w:numPr>
        <w:jc w:val="both"/>
        <w:rPr>
          <w:rFonts w:cstheme="minorHAnsi"/>
          <w:sz w:val="24"/>
          <w:szCs w:val="24"/>
        </w:rPr>
      </w:pPr>
      <w:r w:rsidRPr="00B624C4">
        <w:rPr>
          <w:rFonts w:cstheme="minorHAnsi"/>
          <w:sz w:val="24"/>
          <w:szCs w:val="24"/>
        </w:rPr>
        <w:t>Termly tracking and review meetings.</w:t>
      </w:r>
    </w:p>
    <w:p w14:paraId="3A1AD1D5" w14:textId="77777777" w:rsidR="00CF5742" w:rsidRPr="00B624C4" w:rsidRDefault="00CF5742" w:rsidP="009161AB">
      <w:pPr>
        <w:pStyle w:val="ListParagraph"/>
        <w:numPr>
          <w:ilvl w:val="0"/>
          <w:numId w:val="14"/>
        </w:numPr>
        <w:jc w:val="both"/>
        <w:rPr>
          <w:rFonts w:cstheme="minorHAnsi"/>
          <w:sz w:val="24"/>
          <w:szCs w:val="24"/>
        </w:rPr>
      </w:pPr>
      <w:r w:rsidRPr="00B624C4">
        <w:rPr>
          <w:rFonts w:cstheme="minorHAnsi"/>
          <w:sz w:val="24"/>
          <w:szCs w:val="24"/>
        </w:rPr>
        <w:t>Ongoing assessment and recording by all staff.</w:t>
      </w:r>
    </w:p>
    <w:p w14:paraId="31F0B4D7" w14:textId="77777777" w:rsidR="00CF5742" w:rsidRPr="00B624C4" w:rsidRDefault="00CF5742" w:rsidP="009161AB">
      <w:pPr>
        <w:pStyle w:val="ListParagraph"/>
        <w:numPr>
          <w:ilvl w:val="0"/>
          <w:numId w:val="14"/>
        </w:numPr>
        <w:jc w:val="both"/>
        <w:rPr>
          <w:rFonts w:cstheme="minorHAnsi"/>
          <w:sz w:val="24"/>
          <w:szCs w:val="24"/>
        </w:rPr>
      </w:pPr>
      <w:r w:rsidRPr="00B624C4">
        <w:rPr>
          <w:rFonts w:cstheme="minorHAnsi"/>
          <w:sz w:val="24"/>
          <w:szCs w:val="24"/>
        </w:rPr>
        <w:t>Termly ILP reviews involving parents and pupils.</w:t>
      </w:r>
    </w:p>
    <w:p w14:paraId="7A567B7C" w14:textId="77777777" w:rsidR="00CF5742" w:rsidRPr="00B624C4" w:rsidRDefault="00CF5742" w:rsidP="009161AB">
      <w:pPr>
        <w:pStyle w:val="ListParagraph"/>
        <w:numPr>
          <w:ilvl w:val="0"/>
          <w:numId w:val="14"/>
        </w:numPr>
        <w:jc w:val="both"/>
        <w:rPr>
          <w:rFonts w:cstheme="minorHAnsi"/>
          <w:sz w:val="24"/>
          <w:szCs w:val="24"/>
        </w:rPr>
      </w:pPr>
      <w:r w:rsidRPr="00B624C4">
        <w:rPr>
          <w:rFonts w:cstheme="minorHAnsi"/>
          <w:sz w:val="24"/>
          <w:szCs w:val="24"/>
        </w:rPr>
        <w:t>One Page Profiles to capture what matters to and for the pupil.</w:t>
      </w:r>
    </w:p>
    <w:p w14:paraId="62CC4D04" w14:textId="77777777" w:rsidR="00CF5742" w:rsidRPr="00B624C4" w:rsidRDefault="00CF5742" w:rsidP="009161AB">
      <w:pPr>
        <w:pStyle w:val="ListParagraph"/>
        <w:numPr>
          <w:ilvl w:val="0"/>
          <w:numId w:val="14"/>
        </w:numPr>
        <w:jc w:val="both"/>
        <w:rPr>
          <w:rFonts w:cstheme="minorHAnsi"/>
          <w:sz w:val="24"/>
          <w:szCs w:val="24"/>
        </w:rPr>
      </w:pPr>
      <w:r w:rsidRPr="00B624C4">
        <w:rPr>
          <w:rFonts w:cstheme="minorHAnsi"/>
          <w:sz w:val="24"/>
          <w:szCs w:val="24"/>
        </w:rPr>
        <w:t>Annual reviews for pupils with EHCPs.</w:t>
      </w:r>
    </w:p>
    <w:p w14:paraId="52B36DCA" w14:textId="77777777" w:rsidR="00CF5742" w:rsidRPr="00B624C4" w:rsidRDefault="00CF5742" w:rsidP="009161AB">
      <w:pPr>
        <w:jc w:val="both"/>
        <w:rPr>
          <w:rFonts w:cstheme="minorHAnsi"/>
          <w:b/>
          <w:sz w:val="24"/>
          <w:szCs w:val="24"/>
          <w:u w:val="single"/>
        </w:rPr>
      </w:pPr>
      <w:r w:rsidRPr="00B624C4">
        <w:rPr>
          <w:rFonts w:cstheme="minorHAnsi"/>
          <w:b/>
          <w:sz w:val="24"/>
          <w:szCs w:val="24"/>
          <w:u w:val="single"/>
        </w:rPr>
        <w:t>External Support Services and Alternative Provision</w:t>
      </w:r>
    </w:p>
    <w:p w14:paraId="4887C855" w14:textId="77777777" w:rsidR="00CF5742" w:rsidRPr="00B624C4" w:rsidRDefault="00CF5742" w:rsidP="009161AB">
      <w:pPr>
        <w:jc w:val="both"/>
        <w:rPr>
          <w:rFonts w:cstheme="minorHAnsi"/>
          <w:sz w:val="24"/>
          <w:szCs w:val="24"/>
        </w:rPr>
      </w:pPr>
      <w:r w:rsidRPr="00B624C4">
        <w:rPr>
          <w:rFonts w:cstheme="minorHAnsi"/>
          <w:sz w:val="24"/>
          <w:szCs w:val="24"/>
        </w:rPr>
        <w:t>Milford School works in partnership with the Godalming Learning Partnership and collaborates wi</w:t>
      </w:r>
      <w:r w:rsidR="00B624C4">
        <w:rPr>
          <w:rFonts w:cstheme="minorHAnsi"/>
          <w:sz w:val="24"/>
          <w:szCs w:val="24"/>
        </w:rPr>
        <w:t>th external agencies including:</w:t>
      </w:r>
    </w:p>
    <w:p w14:paraId="1C1D3894" w14:textId="77777777" w:rsidR="00CF5742" w:rsidRPr="00B624C4" w:rsidRDefault="00CF5742" w:rsidP="009161AB">
      <w:pPr>
        <w:pStyle w:val="ListParagraph"/>
        <w:numPr>
          <w:ilvl w:val="0"/>
          <w:numId w:val="15"/>
        </w:numPr>
        <w:jc w:val="both"/>
        <w:rPr>
          <w:rFonts w:cstheme="minorHAnsi"/>
          <w:sz w:val="24"/>
          <w:szCs w:val="24"/>
        </w:rPr>
      </w:pPr>
      <w:r w:rsidRPr="00B624C4">
        <w:rPr>
          <w:rFonts w:cstheme="minorHAnsi"/>
          <w:sz w:val="24"/>
          <w:szCs w:val="24"/>
        </w:rPr>
        <w:t>Children’s Services</w:t>
      </w:r>
    </w:p>
    <w:p w14:paraId="2810351F" w14:textId="77777777" w:rsidR="00CF5742" w:rsidRPr="00B624C4" w:rsidRDefault="00CF5742" w:rsidP="009161AB">
      <w:pPr>
        <w:pStyle w:val="ListParagraph"/>
        <w:numPr>
          <w:ilvl w:val="0"/>
          <w:numId w:val="15"/>
        </w:numPr>
        <w:jc w:val="both"/>
        <w:rPr>
          <w:rFonts w:cstheme="minorHAnsi"/>
          <w:sz w:val="24"/>
          <w:szCs w:val="24"/>
        </w:rPr>
      </w:pPr>
      <w:r w:rsidRPr="00B624C4">
        <w:rPr>
          <w:rFonts w:cstheme="minorHAnsi"/>
          <w:sz w:val="24"/>
          <w:szCs w:val="24"/>
        </w:rPr>
        <w:t>Health services</w:t>
      </w:r>
    </w:p>
    <w:p w14:paraId="10D2B850" w14:textId="77777777" w:rsidR="00CF5742" w:rsidRPr="00B624C4" w:rsidRDefault="00CF5742" w:rsidP="009161AB">
      <w:pPr>
        <w:pStyle w:val="ListParagraph"/>
        <w:numPr>
          <w:ilvl w:val="0"/>
          <w:numId w:val="15"/>
        </w:numPr>
        <w:jc w:val="both"/>
        <w:rPr>
          <w:rFonts w:cstheme="minorHAnsi"/>
          <w:sz w:val="24"/>
          <w:szCs w:val="24"/>
        </w:rPr>
      </w:pPr>
      <w:r w:rsidRPr="00B624C4">
        <w:rPr>
          <w:rFonts w:cstheme="minorHAnsi"/>
          <w:sz w:val="24"/>
          <w:szCs w:val="24"/>
        </w:rPr>
        <w:t>Surrey STIP Team</w:t>
      </w:r>
    </w:p>
    <w:p w14:paraId="7EF58490" w14:textId="77777777" w:rsidR="00CF5742" w:rsidRPr="00B624C4" w:rsidRDefault="00CF5742" w:rsidP="009161AB">
      <w:pPr>
        <w:pStyle w:val="ListParagraph"/>
        <w:numPr>
          <w:ilvl w:val="0"/>
          <w:numId w:val="15"/>
        </w:numPr>
        <w:jc w:val="both"/>
        <w:rPr>
          <w:rFonts w:cstheme="minorHAnsi"/>
          <w:sz w:val="24"/>
          <w:szCs w:val="24"/>
        </w:rPr>
      </w:pPr>
      <w:r w:rsidRPr="00B624C4">
        <w:rPr>
          <w:rFonts w:cstheme="minorHAnsi"/>
          <w:sz w:val="24"/>
          <w:szCs w:val="24"/>
        </w:rPr>
        <w:t>Speech and Language Therapy</w:t>
      </w:r>
    </w:p>
    <w:p w14:paraId="2BEB8EA9" w14:textId="77777777" w:rsidR="00CF5742" w:rsidRPr="00B624C4" w:rsidRDefault="00CF5742" w:rsidP="009161AB">
      <w:pPr>
        <w:pStyle w:val="ListParagraph"/>
        <w:numPr>
          <w:ilvl w:val="0"/>
          <w:numId w:val="15"/>
        </w:numPr>
        <w:jc w:val="both"/>
        <w:rPr>
          <w:rFonts w:cstheme="minorHAnsi"/>
          <w:sz w:val="24"/>
          <w:szCs w:val="24"/>
        </w:rPr>
      </w:pPr>
      <w:r w:rsidRPr="00B624C4">
        <w:rPr>
          <w:rFonts w:cstheme="minorHAnsi"/>
          <w:sz w:val="24"/>
          <w:szCs w:val="24"/>
        </w:rPr>
        <w:t>Educational Psychology</w:t>
      </w:r>
    </w:p>
    <w:p w14:paraId="06CCB719" w14:textId="77777777" w:rsidR="00CF5742" w:rsidRPr="00B624C4" w:rsidRDefault="00CF5742" w:rsidP="009161AB">
      <w:pPr>
        <w:pStyle w:val="ListParagraph"/>
        <w:numPr>
          <w:ilvl w:val="0"/>
          <w:numId w:val="15"/>
        </w:numPr>
        <w:jc w:val="both"/>
        <w:rPr>
          <w:rFonts w:cstheme="minorHAnsi"/>
          <w:sz w:val="24"/>
          <w:szCs w:val="24"/>
        </w:rPr>
      </w:pPr>
      <w:r w:rsidRPr="00B624C4">
        <w:rPr>
          <w:rFonts w:cstheme="minorHAnsi"/>
          <w:sz w:val="24"/>
          <w:szCs w:val="24"/>
        </w:rPr>
        <w:t>Outreach services</w:t>
      </w:r>
    </w:p>
    <w:p w14:paraId="7698FB6B" w14:textId="77777777" w:rsidR="00CF5742" w:rsidRPr="00B624C4" w:rsidRDefault="00CF5742" w:rsidP="009161AB">
      <w:pPr>
        <w:pStyle w:val="ListParagraph"/>
        <w:numPr>
          <w:ilvl w:val="0"/>
          <w:numId w:val="15"/>
        </w:numPr>
        <w:jc w:val="both"/>
        <w:rPr>
          <w:rFonts w:cstheme="minorHAnsi"/>
          <w:sz w:val="24"/>
          <w:szCs w:val="24"/>
        </w:rPr>
      </w:pPr>
      <w:r w:rsidRPr="00B624C4">
        <w:rPr>
          <w:rFonts w:cstheme="minorHAnsi"/>
          <w:sz w:val="24"/>
          <w:szCs w:val="24"/>
        </w:rPr>
        <w:t>Alternative Provision (where appropriate)</w:t>
      </w:r>
    </w:p>
    <w:p w14:paraId="65F220B2" w14:textId="77777777" w:rsidR="00CF5742" w:rsidRPr="00B624C4" w:rsidRDefault="00CF5742" w:rsidP="009161AB">
      <w:pPr>
        <w:jc w:val="both"/>
        <w:rPr>
          <w:rFonts w:cstheme="minorHAnsi"/>
          <w:sz w:val="24"/>
          <w:szCs w:val="24"/>
        </w:rPr>
      </w:pPr>
      <w:r w:rsidRPr="00B624C4">
        <w:rPr>
          <w:rFonts w:cstheme="minorHAnsi"/>
          <w:sz w:val="24"/>
          <w:szCs w:val="24"/>
        </w:rPr>
        <w:t xml:space="preserve">These partnerships support effective identification and </w:t>
      </w:r>
      <w:r w:rsidR="00B624C4">
        <w:rPr>
          <w:rFonts w:cstheme="minorHAnsi"/>
          <w:sz w:val="24"/>
          <w:szCs w:val="24"/>
        </w:rPr>
        <w:t>provision for pupils with SEND.</w:t>
      </w:r>
    </w:p>
    <w:p w14:paraId="3C3C157C" w14:textId="77777777" w:rsidR="009161AB" w:rsidRDefault="009161AB" w:rsidP="009161AB">
      <w:pPr>
        <w:jc w:val="both"/>
        <w:rPr>
          <w:rFonts w:cstheme="minorHAnsi"/>
          <w:b/>
          <w:sz w:val="24"/>
          <w:szCs w:val="24"/>
          <w:u w:val="single"/>
        </w:rPr>
      </w:pPr>
    </w:p>
    <w:p w14:paraId="6F50E384" w14:textId="77777777" w:rsidR="009161AB" w:rsidRDefault="009161AB" w:rsidP="009161AB">
      <w:pPr>
        <w:jc w:val="both"/>
        <w:rPr>
          <w:rFonts w:cstheme="minorHAnsi"/>
          <w:b/>
          <w:sz w:val="24"/>
          <w:szCs w:val="24"/>
          <w:u w:val="single"/>
        </w:rPr>
      </w:pPr>
    </w:p>
    <w:p w14:paraId="14DD2B00" w14:textId="68110099" w:rsidR="00CF5742" w:rsidRPr="000B5EC8" w:rsidRDefault="00CF5742" w:rsidP="009161AB">
      <w:pPr>
        <w:jc w:val="both"/>
        <w:rPr>
          <w:rFonts w:cstheme="minorHAnsi"/>
          <w:b/>
          <w:sz w:val="24"/>
          <w:szCs w:val="24"/>
          <w:u w:val="single"/>
        </w:rPr>
      </w:pPr>
      <w:r w:rsidRPr="000B5EC8">
        <w:rPr>
          <w:rFonts w:cstheme="minorHAnsi"/>
          <w:b/>
          <w:sz w:val="24"/>
          <w:szCs w:val="24"/>
          <w:u w:val="single"/>
        </w:rPr>
        <w:t>Parent Partnership</w:t>
      </w:r>
    </w:p>
    <w:p w14:paraId="03C76CC8" w14:textId="77777777" w:rsidR="00CF5742" w:rsidRPr="00B624C4" w:rsidRDefault="00CF5742" w:rsidP="009161AB">
      <w:pPr>
        <w:jc w:val="both"/>
        <w:rPr>
          <w:rFonts w:cstheme="minorHAnsi"/>
          <w:sz w:val="24"/>
          <w:szCs w:val="24"/>
        </w:rPr>
      </w:pPr>
      <w:r w:rsidRPr="00B624C4">
        <w:rPr>
          <w:rFonts w:cstheme="minorHAnsi"/>
          <w:sz w:val="24"/>
          <w:szCs w:val="24"/>
        </w:rPr>
        <w:t>We value strong partnerships with parents and carers and maintain regular communication. Parents are encouraged to share concerns at the earliest opportunity so that support can be planned collaboratively.</w:t>
      </w:r>
    </w:p>
    <w:p w14:paraId="14A4D69A" w14:textId="77777777" w:rsidR="00CF5742" w:rsidRPr="00CF5742" w:rsidRDefault="00CF5742" w:rsidP="009161AB">
      <w:pPr>
        <w:jc w:val="both"/>
        <w:rPr>
          <w:rFonts w:cstheme="minorHAnsi"/>
          <w:b/>
          <w:sz w:val="24"/>
          <w:szCs w:val="24"/>
        </w:rPr>
      </w:pPr>
    </w:p>
    <w:p w14:paraId="12C9904A" w14:textId="77777777" w:rsidR="00CF5742" w:rsidRPr="00CF5742" w:rsidRDefault="00B624C4" w:rsidP="009161AB">
      <w:pPr>
        <w:jc w:val="both"/>
        <w:rPr>
          <w:rFonts w:cstheme="minorHAnsi"/>
          <w:b/>
          <w:sz w:val="24"/>
          <w:szCs w:val="24"/>
        </w:rPr>
      </w:pPr>
      <w:r>
        <w:rPr>
          <w:rFonts w:cstheme="minorHAnsi"/>
          <w:b/>
          <w:sz w:val="24"/>
          <w:szCs w:val="24"/>
        </w:rPr>
        <w:t>Also see Milford School SEND Information Report 2026</w:t>
      </w:r>
    </w:p>
    <w:p w14:paraId="59B11F27" w14:textId="77777777" w:rsidR="00CF5742" w:rsidRPr="00CF5742" w:rsidRDefault="00CF5742" w:rsidP="009161AB">
      <w:pPr>
        <w:jc w:val="both"/>
        <w:rPr>
          <w:rFonts w:cstheme="minorHAnsi"/>
          <w:b/>
          <w:sz w:val="24"/>
          <w:szCs w:val="24"/>
        </w:rPr>
      </w:pPr>
    </w:p>
    <w:p w14:paraId="7B0504D0" w14:textId="77777777" w:rsidR="005E5689" w:rsidRDefault="005E5689" w:rsidP="009161AB">
      <w:pPr>
        <w:jc w:val="both"/>
        <w:rPr>
          <w:rFonts w:cstheme="minorHAnsi"/>
          <w:b/>
          <w:sz w:val="24"/>
          <w:szCs w:val="24"/>
        </w:rPr>
      </w:pPr>
    </w:p>
    <w:sectPr w:rsidR="005E5689" w:rsidSect="009161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0E11"/>
    <w:multiLevelType w:val="hybridMultilevel"/>
    <w:tmpl w:val="9F2E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049DB"/>
    <w:multiLevelType w:val="hybridMultilevel"/>
    <w:tmpl w:val="57A6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602FC"/>
    <w:multiLevelType w:val="hybridMultilevel"/>
    <w:tmpl w:val="5A0C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85C70"/>
    <w:multiLevelType w:val="hybridMultilevel"/>
    <w:tmpl w:val="99BAF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36F20"/>
    <w:multiLevelType w:val="hybridMultilevel"/>
    <w:tmpl w:val="B61A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07157"/>
    <w:multiLevelType w:val="hybridMultilevel"/>
    <w:tmpl w:val="7B30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B377A"/>
    <w:multiLevelType w:val="hybridMultilevel"/>
    <w:tmpl w:val="8F04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A3272"/>
    <w:multiLevelType w:val="hybridMultilevel"/>
    <w:tmpl w:val="D04A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D4CEB"/>
    <w:multiLevelType w:val="hybridMultilevel"/>
    <w:tmpl w:val="4B72C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75FBB"/>
    <w:multiLevelType w:val="hybridMultilevel"/>
    <w:tmpl w:val="B932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85520"/>
    <w:multiLevelType w:val="hybridMultilevel"/>
    <w:tmpl w:val="CE5C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B5C1B"/>
    <w:multiLevelType w:val="hybridMultilevel"/>
    <w:tmpl w:val="8240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B60AE"/>
    <w:multiLevelType w:val="hybridMultilevel"/>
    <w:tmpl w:val="753E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F668F"/>
    <w:multiLevelType w:val="hybridMultilevel"/>
    <w:tmpl w:val="74F8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A3F55"/>
    <w:multiLevelType w:val="hybridMultilevel"/>
    <w:tmpl w:val="9C5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1"/>
  </w:num>
  <w:num w:numId="5">
    <w:abstractNumId w:val="11"/>
  </w:num>
  <w:num w:numId="6">
    <w:abstractNumId w:val="0"/>
  </w:num>
  <w:num w:numId="7">
    <w:abstractNumId w:val="5"/>
  </w:num>
  <w:num w:numId="8">
    <w:abstractNumId w:val="3"/>
  </w:num>
  <w:num w:numId="9">
    <w:abstractNumId w:val="7"/>
  </w:num>
  <w:num w:numId="10">
    <w:abstractNumId w:val="8"/>
  </w:num>
  <w:num w:numId="11">
    <w:abstractNumId w:val="4"/>
  </w:num>
  <w:num w:numId="12">
    <w:abstractNumId w:val="6"/>
  </w:num>
  <w:num w:numId="13">
    <w:abstractNumId w:val="1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89"/>
    <w:rsid w:val="000B5EC8"/>
    <w:rsid w:val="0014482C"/>
    <w:rsid w:val="00457587"/>
    <w:rsid w:val="005D5960"/>
    <w:rsid w:val="005E5689"/>
    <w:rsid w:val="006F424F"/>
    <w:rsid w:val="008339CB"/>
    <w:rsid w:val="00912530"/>
    <w:rsid w:val="009161AB"/>
    <w:rsid w:val="00A7757D"/>
    <w:rsid w:val="00B624C4"/>
    <w:rsid w:val="00CC1893"/>
    <w:rsid w:val="00CF5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1014"/>
  <w15:chartTrackingRefBased/>
  <w15:docId w15:val="{5F230A6C-0088-45BD-9911-CAE4EB31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689"/>
    <w:pPr>
      <w:ind w:left="720"/>
      <w:contextualSpacing/>
    </w:pPr>
  </w:style>
  <w:style w:type="paragraph" w:styleId="NoSpacing">
    <w:name w:val="No Spacing"/>
    <w:uiPriority w:val="1"/>
    <w:qFormat/>
    <w:rsid w:val="005E5689"/>
    <w:pPr>
      <w:spacing w:after="0" w:line="240" w:lineRule="auto"/>
    </w:pPr>
  </w:style>
  <w:style w:type="table" w:styleId="TableGrid">
    <w:name w:val="Table Grid"/>
    <w:basedOn w:val="TableNormal"/>
    <w:uiPriority w:val="39"/>
    <w:rsid w:val="00A7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Sara Cox</cp:lastModifiedBy>
  <cp:revision>4</cp:revision>
  <dcterms:created xsi:type="dcterms:W3CDTF">2026-04-28T12:50:00Z</dcterms:created>
  <dcterms:modified xsi:type="dcterms:W3CDTF">2026-05-08T09:56:00Z</dcterms:modified>
</cp:coreProperties>
</file>